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50A" w:rsidRDefault="00AC550A" w:rsidP="007C1C68">
      <w:pPr>
        <w:spacing w:after="0"/>
        <w:jc w:val="center"/>
        <w:rPr>
          <w:rFonts w:ascii="Arial" w:eastAsia="Times New Roman" w:hAnsi="Arial" w:cs="Arial"/>
          <w:b/>
          <w:lang w:eastAsia="es-ES"/>
        </w:rPr>
      </w:pPr>
      <w:bookmarkStart w:id="0" w:name="_GoBack"/>
      <w:bookmarkEnd w:id="0"/>
    </w:p>
    <w:p w:rsidR="00AC550A" w:rsidRDefault="00AC550A" w:rsidP="007C1C68">
      <w:pPr>
        <w:spacing w:after="0"/>
        <w:jc w:val="center"/>
        <w:rPr>
          <w:rFonts w:ascii="Arial" w:eastAsia="Times New Roman" w:hAnsi="Arial" w:cs="Arial"/>
          <w:b/>
          <w:lang w:eastAsia="es-ES"/>
        </w:rPr>
      </w:pPr>
    </w:p>
    <w:p w:rsidR="00AC550A" w:rsidRDefault="00AC550A" w:rsidP="007C1C68">
      <w:pPr>
        <w:spacing w:after="0"/>
        <w:jc w:val="center"/>
        <w:rPr>
          <w:rFonts w:ascii="Arial" w:eastAsia="Times New Roman" w:hAnsi="Arial" w:cs="Arial"/>
          <w:b/>
          <w:lang w:eastAsia="es-ES"/>
        </w:rPr>
      </w:pPr>
    </w:p>
    <w:p w:rsidR="007C1C68" w:rsidRPr="00F91FEC" w:rsidRDefault="007C1C68" w:rsidP="007C1C68">
      <w:pPr>
        <w:spacing w:after="0"/>
        <w:jc w:val="center"/>
        <w:rPr>
          <w:rFonts w:ascii="Arial" w:eastAsia="Times New Roman" w:hAnsi="Arial" w:cs="Arial"/>
          <w:b/>
          <w:sz w:val="24"/>
          <w:szCs w:val="24"/>
          <w:lang w:eastAsia="es-ES"/>
        </w:rPr>
      </w:pPr>
      <w:r w:rsidRPr="00F91FEC">
        <w:rPr>
          <w:rFonts w:ascii="Arial" w:eastAsia="Times New Roman" w:hAnsi="Arial" w:cs="Arial"/>
          <w:b/>
          <w:sz w:val="24"/>
          <w:szCs w:val="24"/>
          <w:lang w:eastAsia="es-ES"/>
        </w:rPr>
        <w:t xml:space="preserve">INFORME DE PONENCIA PARA PRIMER DEBATE AL PROYECTO DE LEY </w:t>
      </w:r>
    </w:p>
    <w:p w:rsidR="007C1C68" w:rsidRPr="00F91FEC" w:rsidRDefault="007C1C68" w:rsidP="007C1C68">
      <w:pPr>
        <w:spacing w:after="0"/>
        <w:jc w:val="center"/>
        <w:rPr>
          <w:rFonts w:ascii="Arial" w:eastAsia="Times New Roman" w:hAnsi="Arial" w:cs="Arial"/>
          <w:b/>
          <w:sz w:val="24"/>
          <w:szCs w:val="24"/>
          <w:lang w:eastAsia="es-ES"/>
        </w:rPr>
      </w:pPr>
      <w:r w:rsidRPr="00F91FEC">
        <w:rPr>
          <w:rFonts w:ascii="Arial" w:eastAsia="Times New Roman" w:hAnsi="Arial" w:cs="Arial"/>
          <w:b/>
          <w:sz w:val="24"/>
          <w:szCs w:val="24"/>
          <w:lang w:eastAsia="es-ES"/>
        </w:rPr>
        <w:t>No. 059/2014 CAMARA</w:t>
      </w:r>
    </w:p>
    <w:p w:rsidR="007C1C68" w:rsidRPr="007C1C68" w:rsidRDefault="007C1C68" w:rsidP="007C1C68">
      <w:pPr>
        <w:spacing w:after="0"/>
        <w:jc w:val="center"/>
        <w:rPr>
          <w:rFonts w:ascii="Arial" w:eastAsia="Times New Roman" w:hAnsi="Arial" w:cs="Arial"/>
          <w:b/>
          <w:lang w:eastAsia="es-ES"/>
        </w:rPr>
      </w:pPr>
    </w:p>
    <w:p w:rsidR="007C1C68" w:rsidRPr="007C1C68" w:rsidRDefault="007C1C68" w:rsidP="007C1C68">
      <w:pPr>
        <w:spacing w:after="0"/>
        <w:jc w:val="center"/>
        <w:rPr>
          <w:rFonts w:ascii="Arial" w:eastAsia="Times New Roman" w:hAnsi="Arial" w:cs="Arial"/>
          <w:b/>
          <w:lang w:eastAsia="es-ES"/>
        </w:rPr>
      </w:pPr>
      <w:r w:rsidRPr="007C1C68">
        <w:rPr>
          <w:rFonts w:ascii="Arial" w:eastAsia="Times New Roman" w:hAnsi="Arial" w:cs="Arial"/>
          <w:b/>
          <w:lang w:eastAsia="es-ES"/>
        </w:rPr>
        <w:t>“Por medio de la cual se modifica el artículo 14 de la Ley 80 de 1993, se establecen las clausulas exorbitantes en los contratos de aportes, y se dictan otras disposiciones”</w:t>
      </w:r>
    </w:p>
    <w:p w:rsidR="007C1C68" w:rsidRPr="007C1C68" w:rsidRDefault="007C1C68" w:rsidP="007C1C68">
      <w:pPr>
        <w:widowControl w:val="0"/>
        <w:tabs>
          <w:tab w:val="left" w:pos="0"/>
        </w:tabs>
        <w:spacing w:after="0"/>
        <w:jc w:val="center"/>
        <w:rPr>
          <w:rFonts w:ascii="Arial" w:eastAsia="Times New Roman" w:hAnsi="Arial" w:cs="Arial"/>
          <w:lang w:eastAsia="es-ES"/>
        </w:rPr>
      </w:pPr>
    </w:p>
    <w:p w:rsidR="007C1C68" w:rsidRPr="007C1C68" w:rsidRDefault="007C1C68" w:rsidP="007C1C68">
      <w:pPr>
        <w:widowControl w:val="0"/>
        <w:tabs>
          <w:tab w:val="left" w:pos="0"/>
        </w:tabs>
        <w:spacing w:after="0"/>
        <w:jc w:val="both"/>
        <w:rPr>
          <w:rFonts w:ascii="Arial" w:eastAsia="Times New Roman" w:hAnsi="Arial" w:cs="Arial"/>
          <w:lang w:eastAsia="es-ES"/>
        </w:rPr>
      </w:pPr>
    </w:p>
    <w:p w:rsidR="007C1C68" w:rsidRPr="007C1C68" w:rsidRDefault="007C1C68" w:rsidP="007C1C68">
      <w:pPr>
        <w:widowControl w:val="0"/>
        <w:tabs>
          <w:tab w:val="left" w:pos="0"/>
        </w:tabs>
        <w:spacing w:after="0"/>
        <w:jc w:val="both"/>
        <w:rPr>
          <w:rFonts w:ascii="Arial" w:eastAsia="Times New Roman" w:hAnsi="Arial" w:cs="Arial"/>
          <w:lang w:eastAsia="es-ES"/>
        </w:rPr>
      </w:pPr>
    </w:p>
    <w:p w:rsidR="007C1C68" w:rsidRPr="007C1C68" w:rsidRDefault="002C6C82" w:rsidP="007C1C68">
      <w:pPr>
        <w:widowControl w:val="0"/>
        <w:tabs>
          <w:tab w:val="left" w:pos="0"/>
        </w:tabs>
        <w:spacing w:after="0"/>
        <w:jc w:val="both"/>
        <w:rPr>
          <w:rFonts w:ascii="Arial" w:eastAsia="Times New Roman" w:hAnsi="Arial" w:cs="Arial"/>
          <w:lang w:eastAsia="es-ES"/>
        </w:rPr>
      </w:pPr>
      <w:r>
        <w:rPr>
          <w:rFonts w:ascii="Arial" w:eastAsia="Times New Roman" w:hAnsi="Arial" w:cs="Arial"/>
          <w:lang w:eastAsia="es-ES"/>
        </w:rPr>
        <w:t>Bogotá D.C. mayo 27</w:t>
      </w:r>
      <w:r w:rsidR="007C1C68" w:rsidRPr="007C1C68">
        <w:rPr>
          <w:rFonts w:ascii="Arial" w:eastAsia="Times New Roman" w:hAnsi="Arial" w:cs="Arial"/>
          <w:lang w:eastAsia="es-ES"/>
        </w:rPr>
        <w:t xml:space="preserve"> de 2015</w:t>
      </w:r>
    </w:p>
    <w:p w:rsidR="007C1C68" w:rsidRPr="007C1C68" w:rsidRDefault="007C1C68" w:rsidP="007C1C68">
      <w:pPr>
        <w:widowControl w:val="0"/>
        <w:tabs>
          <w:tab w:val="left" w:pos="0"/>
        </w:tabs>
        <w:spacing w:after="0"/>
        <w:jc w:val="both"/>
        <w:rPr>
          <w:rFonts w:ascii="Arial" w:eastAsia="Times New Roman" w:hAnsi="Arial" w:cs="Arial"/>
          <w:lang w:eastAsia="es-ES"/>
        </w:rPr>
      </w:pPr>
    </w:p>
    <w:p w:rsidR="007C1C68" w:rsidRPr="007C1C68" w:rsidRDefault="007C1C68" w:rsidP="007C1C68">
      <w:pPr>
        <w:widowControl w:val="0"/>
        <w:tabs>
          <w:tab w:val="left" w:pos="0"/>
        </w:tabs>
        <w:spacing w:after="0"/>
        <w:jc w:val="both"/>
        <w:rPr>
          <w:rFonts w:ascii="Arial" w:eastAsia="Times New Roman" w:hAnsi="Arial" w:cs="Arial"/>
          <w:lang w:eastAsia="es-ES"/>
        </w:rPr>
      </w:pPr>
    </w:p>
    <w:p w:rsidR="007C1C68" w:rsidRPr="007C1C68" w:rsidRDefault="007C1C68" w:rsidP="007C1C68">
      <w:pPr>
        <w:widowControl w:val="0"/>
        <w:tabs>
          <w:tab w:val="left" w:pos="0"/>
        </w:tabs>
        <w:spacing w:after="0"/>
        <w:jc w:val="both"/>
        <w:rPr>
          <w:rFonts w:ascii="Arial" w:eastAsia="Times New Roman" w:hAnsi="Arial" w:cs="Arial"/>
          <w:lang w:eastAsia="es-ES"/>
        </w:rPr>
      </w:pPr>
      <w:r w:rsidRPr="007C1C68">
        <w:rPr>
          <w:rFonts w:ascii="Arial" w:eastAsia="Times New Roman" w:hAnsi="Arial" w:cs="Arial"/>
          <w:lang w:eastAsia="es-ES"/>
        </w:rPr>
        <w:t>Doctor:</w:t>
      </w:r>
    </w:p>
    <w:p w:rsidR="007C1C68" w:rsidRPr="007C1C68" w:rsidRDefault="007C1C68" w:rsidP="007C1C68">
      <w:pPr>
        <w:widowControl w:val="0"/>
        <w:tabs>
          <w:tab w:val="left" w:pos="0"/>
        </w:tabs>
        <w:spacing w:after="0"/>
        <w:jc w:val="both"/>
        <w:rPr>
          <w:rFonts w:ascii="Arial" w:eastAsia="Times New Roman" w:hAnsi="Arial" w:cs="Arial"/>
          <w:b/>
          <w:lang w:eastAsia="es-ES"/>
        </w:rPr>
      </w:pPr>
      <w:r w:rsidRPr="007C1C68">
        <w:rPr>
          <w:rFonts w:ascii="Arial" w:eastAsia="Times New Roman" w:hAnsi="Arial" w:cs="Arial"/>
          <w:b/>
          <w:lang w:eastAsia="es-ES"/>
        </w:rPr>
        <w:t>JAIME BUEN</w:t>
      </w:r>
      <w:r w:rsidR="000A690A">
        <w:rPr>
          <w:rFonts w:ascii="Arial" w:eastAsia="Times New Roman" w:hAnsi="Arial" w:cs="Arial"/>
          <w:b/>
          <w:lang w:eastAsia="es-ES"/>
        </w:rPr>
        <w:t>A</w:t>
      </w:r>
      <w:r w:rsidRPr="007C1C68">
        <w:rPr>
          <w:rFonts w:ascii="Arial" w:eastAsia="Times New Roman" w:hAnsi="Arial" w:cs="Arial"/>
          <w:b/>
          <w:lang w:eastAsia="es-ES"/>
        </w:rPr>
        <w:t>HORA FEBRES</w:t>
      </w:r>
    </w:p>
    <w:p w:rsidR="007C1C68" w:rsidRPr="007C1C68" w:rsidRDefault="007C1C68" w:rsidP="007C1C68">
      <w:pPr>
        <w:widowControl w:val="0"/>
        <w:tabs>
          <w:tab w:val="left" w:pos="0"/>
        </w:tabs>
        <w:spacing w:after="0"/>
        <w:jc w:val="both"/>
        <w:rPr>
          <w:rFonts w:ascii="Arial" w:eastAsia="Times New Roman" w:hAnsi="Arial" w:cs="Arial"/>
          <w:lang w:eastAsia="es-ES"/>
        </w:rPr>
      </w:pPr>
      <w:r w:rsidRPr="007C1C68">
        <w:rPr>
          <w:rFonts w:ascii="Arial" w:eastAsia="Times New Roman" w:hAnsi="Arial" w:cs="Arial"/>
          <w:lang w:eastAsia="es-ES"/>
        </w:rPr>
        <w:t>Presidente Comisión Primera Constitucional</w:t>
      </w:r>
    </w:p>
    <w:p w:rsidR="007C1C68" w:rsidRPr="007C1C68" w:rsidRDefault="007C1C68" w:rsidP="007C1C68">
      <w:pPr>
        <w:widowControl w:val="0"/>
        <w:tabs>
          <w:tab w:val="left" w:pos="0"/>
        </w:tabs>
        <w:spacing w:after="0"/>
        <w:jc w:val="both"/>
        <w:rPr>
          <w:rFonts w:ascii="Arial" w:eastAsia="Times New Roman" w:hAnsi="Arial" w:cs="Arial"/>
          <w:lang w:eastAsia="es-ES"/>
        </w:rPr>
      </w:pPr>
      <w:r w:rsidRPr="007C1C68">
        <w:rPr>
          <w:rFonts w:ascii="Arial" w:eastAsia="Times New Roman" w:hAnsi="Arial" w:cs="Arial"/>
          <w:lang w:eastAsia="es-ES"/>
        </w:rPr>
        <w:t>Honorable Cámara de Representantes</w:t>
      </w:r>
    </w:p>
    <w:p w:rsidR="007C1C68" w:rsidRPr="007C1C68" w:rsidRDefault="007C1C68" w:rsidP="007C1C68">
      <w:pPr>
        <w:widowControl w:val="0"/>
        <w:tabs>
          <w:tab w:val="left" w:pos="0"/>
        </w:tabs>
        <w:spacing w:after="0"/>
        <w:jc w:val="both"/>
        <w:rPr>
          <w:rFonts w:ascii="Arial" w:eastAsia="Times New Roman" w:hAnsi="Arial" w:cs="Arial"/>
          <w:lang w:eastAsia="es-ES"/>
        </w:rPr>
      </w:pPr>
      <w:r w:rsidRPr="007C1C68">
        <w:rPr>
          <w:rFonts w:ascii="Arial" w:eastAsia="Times New Roman" w:hAnsi="Arial" w:cs="Arial"/>
          <w:lang w:eastAsia="es-ES"/>
        </w:rPr>
        <w:t xml:space="preserve">E.                 S.              D. </w:t>
      </w:r>
    </w:p>
    <w:p w:rsidR="007C1C68" w:rsidRDefault="007C1C68" w:rsidP="007C1C68">
      <w:pPr>
        <w:widowControl w:val="0"/>
        <w:tabs>
          <w:tab w:val="left" w:pos="0"/>
        </w:tabs>
        <w:spacing w:after="0"/>
        <w:jc w:val="both"/>
        <w:rPr>
          <w:rFonts w:ascii="Arial" w:eastAsia="Times New Roman" w:hAnsi="Arial" w:cs="Arial"/>
          <w:lang w:eastAsia="es-ES"/>
        </w:rPr>
      </w:pPr>
    </w:p>
    <w:p w:rsidR="00AC550A" w:rsidRPr="007C1C68" w:rsidRDefault="00AC550A" w:rsidP="007C1C68">
      <w:pPr>
        <w:widowControl w:val="0"/>
        <w:tabs>
          <w:tab w:val="left" w:pos="0"/>
        </w:tabs>
        <w:spacing w:after="0"/>
        <w:jc w:val="both"/>
        <w:rPr>
          <w:rFonts w:ascii="Arial" w:eastAsia="Times New Roman" w:hAnsi="Arial" w:cs="Arial"/>
          <w:lang w:eastAsia="es-ES"/>
        </w:rPr>
      </w:pPr>
      <w:r>
        <w:rPr>
          <w:rFonts w:ascii="Arial" w:eastAsia="Times New Roman" w:hAnsi="Arial" w:cs="Arial"/>
          <w:lang w:eastAsia="es-ES"/>
        </w:rPr>
        <w:t>Respetado doctor:</w:t>
      </w:r>
    </w:p>
    <w:p w:rsidR="007C1C68" w:rsidRPr="007C1C68" w:rsidRDefault="007C1C68" w:rsidP="007C1C68">
      <w:pPr>
        <w:widowControl w:val="0"/>
        <w:tabs>
          <w:tab w:val="left" w:pos="0"/>
        </w:tabs>
        <w:spacing w:after="0"/>
        <w:jc w:val="both"/>
        <w:rPr>
          <w:rFonts w:ascii="Arial" w:eastAsia="Times New Roman" w:hAnsi="Arial" w:cs="Arial"/>
          <w:lang w:eastAsia="es-ES"/>
        </w:rPr>
      </w:pPr>
    </w:p>
    <w:p w:rsidR="007C1C68" w:rsidRPr="007C1C68" w:rsidRDefault="007C1C68" w:rsidP="007C1C68">
      <w:pPr>
        <w:spacing w:after="0"/>
        <w:jc w:val="both"/>
        <w:rPr>
          <w:rFonts w:ascii="Arial" w:eastAsia="Times New Roman" w:hAnsi="Arial" w:cs="Arial"/>
          <w:lang w:eastAsia="es-ES"/>
        </w:rPr>
      </w:pPr>
      <w:r w:rsidRPr="007C1C68">
        <w:rPr>
          <w:rFonts w:ascii="Arial" w:eastAsia="Times New Roman" w:hAnsi="Arial" w:cs="Arial"/>
          <w:lang w:eastAsia="es-ES"/>
        </w:rPr>
        <w:t xml:space="preserve">En cumplimiento del honroso encargo impartido por la Mesa Directiva de la Comisión y en virtud de los artículos 153 a 156 de la Ley 5 de 1992, me permito someter a consideración de la Comisión Primera de la Honorable Cámara de Representantes, el informe de Ponencia del Proyecto de Ley No. 059 de 2014 Cámara </w:t>
      </w:r>
      <w:r w:rsidRPr="007C1C68">
        <w:rPr>
          <w:rFonts w:ascii="Arial" w:eastAsia="Times New Roman" w:hAnsi="Arial" w:cs="Arial"/>
          <w:b/>
          <w:lang w:eastAsia="es-ES"/>
        </w:rPr>
        <w:t xml:space="preserve"> </w:t>
      </w:r>
      <w:r w:rsidRPr="007C1C68">
        <w:rPr>
          <w:rFonts w:ascii="Arial" w:eastAsia="Times New Roman" w:hAnsi="Arial" w:cs="Arial"/>
          <w:b/>
          <w:i/>
          <w:lang w:eastAsia="es-ES"/>
        </w:rPr>
        <w:t>“Por medio de la cual se modifica el artículo 14 de la Ley 80 de 1993, se establecen las clausulas exorbitantes en los contratos de aportes, y se dictan otras disposiciones</w:t>
      </w:r>
      <w:r w:rsidRPr="007C1C68">
        <w:rPr>
          <w:rFonts w:ascii="Arial" w:eastAsia="Times New Roman" w:hAnsi="Arial" w:cs="Arial"/>
          <w:b/>
          <w:lang w:eastAsia="es-ES"/>
        </w:rPr>
        <w:t>”</w:t>
      </w:r>
      <w:r w:rsidRPr="007C1C68">
        <w:rPr>
          <w:rFonts w:ascii="Arial" w:eastAsia="Times New Roman" w:hAnsi="Arial" w:cs="Arial"/>
          <w:lang w:eastAsia="es-ES"/>
        </w:rPr>
        <w:t>, en los siguientes términos:</w:t>
      </w:r>
    </w:p>
    <w:p w:rsidR="007C1C68" w:rsidRPr="007C1C68" w:rsidRDefault="007C1C68" w:rsidP="007C1C68">
      <w:pPr>
        <w:spacing w:after="0"/>
        <w:jc w:val="both"/>
        <w:rPr>
          <w:rFonts w:ascii="Arial" w:eastAsia="Times New Roman" w:hAnsi="Arial" w:cs="Arial"/>
          <w:b/>
          <w:lang w:eastAsia="es-ES"/>
        </w:rPr>
      </w:pPr>
    </w:p>
    <w:p w:rsidR="007C1C68" w:rsidRPr="00692CF4" w:rsidRDefault="007C1C68" w:rsidP="007C1C68">
      <w:pPr>
        <w:widowControl w:val="0"/>
        <w:numPr>
          <w:ilvl w:val="0"/>
          <w:numId w:val="1"/>
        </w:numPr>
        <w:tabs>
          <w:tab w:val="left" w:pos="0"/>
        </w:tabs>
        <w:spacing w:after="0" w:line="240" w:lineRule="auto"/>
        <w:ind w:left="426"/>
        <w:rPr>
          <w:rFonts w:ascii="Arial" w:eastAsia="Times New Roman" w:hAnsi="Arial" w:cs="Arial"/>
          <w:b/>
          <w:lang w:eastAsia="es-ES"/>
        </w:rPr>
      </w:pPr>
      <w:r w:rsidRPr="00692CF4">
        <w:rPr>
          <w:rFonts w:ascii="Arial" w:eastAsia="Times New Roman" w:hAnsi="Arial" w:cs="Arial"/>
          <w:b/>
          <w:lang w:eastAsia="es-ES"/>
        </w:rPr>
        <w:t>ANTECEDENTES:</w:t>
      </w:r>
    </w:p>
    <w:p w:rsidR="007C1C68" w:rsidRPr="007C1C68" w:rsidRDefault="007C1C68" w:rsidP="007C1C68">
      <w:pPr>
        <w:widowControl w:val="0"/>
        <w:tabs>
          <w:tab w:val="left" w:pos="0"/>
        </w:tabs>
        <w:spacing w:after="0"/>
        <w:ind w:left="426"/>
        <w:rPr>
          <w:rFonts w:ascii="Arial" w:eastAsia="Times New Roman" w:hAnsi="Arial" w:cs="Arial"/>
          <w:lang w:eastAsia="es-ES"/>
        </w:rPr>
      </w:pPr>
    </w:p>
    <w:p w:rsidR="007C1C68" w:rsidRPr="007C1C68" w:rsidRDefault="007C1C68" w:rsidP="007C1C68">
      <w:pPr>
        <w:widowControl w:val="0"/>
        <w:tabs>
          <w:tab w:val="left" w:pos="0"/>
        </w:tabs>
        <w:spacing w:after="0"/>
        <w:ind w:left="426"/>
        <w:jc w:val="both"/>
        <w:rPr>
          <w:rFonts w:ascii="Arial" w:eastAsia="Times New Roman" w:hAnsi="Arial" w:cs="Arial"/>
          <w:lang w:eastAsia="es-ES"/>
        </w:rPr>
      </w:pPr>
      <w:r w:rsidRPr="007C1C68">
        <w:rPr>
          <w:rFonts w:ascii="Arial" w:eastAsia="Times New Roman" w:hAnsi="Arial" w:cs="Arial"/>
          <w:lang w:eastAsia="es-ES"/>
        </w:rPr>
        <w:t>La presente iniciativa parlamentaria es de autoría de los Honorables Congresistas MAURICIO AGUILAR HURTADO Y MARIA EUGENIA TRIANA, quien la radicó ante la Secretaria General de la Cámara de Representante</w:t>
      </w:r>
      <w:r w:rsidR="00AC550A">
        <w:rPr>
          <w:rFonts w:ascii="Arial" w:eastAsia="Times New Roman" w:hAnsi="Arial" w:cs="Arial"/>
          <w:lang w:eastAsia="es-ES"/>
        </w:rPr>
        <w:t>s</w:t>
      </w:r>
      <w:r w:rsidRPr="007C1C68">
        <w:rPr>
          <w:rFonts w:ascii="Arial" w:eastAsia="Times New Roman" w:hAnsi="Arial" w:cs="Arial"/>
          <w:lang w:eastAsia="es-ES"/>
        </w:rPr>
        <w:t>.</w:t>
      </w:r>
    </w:p>
    <w:p w:rsidR="007C1C68" w:rsidRPr="007C1C68" w:rsidRDefault="007C1C68" w:rsidP="007C1C68">
      <w:pPr>
        <w:widowControl w:val="0"/>
        <w:tabs>
          <w:tab w:val="left" w:pos="0"/>
        </w:tabs>
        <w:spacing w:after="0"/>
        <w:ind w:left="426"/>
        <w:jc w:val="both"/>
        <w:rPr>
          <w:rFonts w:ascii="Arial" w:eastAsia="Times New Roman" w:hAnsi="Arial" w:cs="Arial"/>
          <w:lang w:eastAsia="es-ES"/>
        </w:rPr>
      </w:pPr>
    </w:p>
    <w:p w:rsidR="007C1C68" w:rsidRPr="00197AD8" w:rsidRDefault="007C1C68" w:rsidP="007C1C68">
      <w:pPr>
        <w:widowControl w:val="0"/>
        <w:tabs>
          <w:tab w:val="left" w:pos="0"/>
        </w:tabs>
        <w:spacing w:after="0"/>
        <w:ind w:left="426"/>
        <w:jc w:val="both"/>
        <w:rPr>
          <w:rFonts w:ascii="Arial" w:eastAsia="Times New Roman" w:hAnsi="Arial" w:cs="Arial"/>
          <w:lang w:eastAsia="es-ES"/>
        </w:rPr>
      </w:pPr>
      <w:r w:rsidRPr="007C1C68">
        <w:rPr>
          <w:rFonts w:ascii="Arial" w:eastAsia="Times New Roman" w:hAnsi="Arial" w:cs="Arial"/>
          <w:lang w:eastAsia="es-ES"/>
        </w:rPr>
        <w:t>Conforme a las disposiciones de la Ley 3 de 1992, se designó a la Comisión Primera Constitucional Permanente, para realizar su estudio, debates</w:t>
      </w:r>
      <w:r w:rsidRPr="00197AD8">
        <w:rPr>
          <w:rFonts w:ascii="Arial" w:eastAsia="Times New Roman" w:hAnsi="Arial" w:cs="Arial"/>
          <w:lang w:eastAsia="es-ES"/>
        </w:rPr>
        <w:t xml:space="preserve"> y votaciones correspondientes.</w:t>
      </w:r>
    </w:p>
    <w:p w:rsidR="007C1C68" w:rsidRPr="00197AD8" w:rsidRDefault="007C1C68" w:rsidP="007C1C68">
      <w:pPr>
        <w:widowControl w:val="0"/>
        <w:tabs>
          <w:tab w:val="left" w:pos="0"/>
        </w:tabs>
        <w:spacing w:after="0"/>
        <w:ind w:left="426"/>
        <w:jc w:val="both"/>
        <w:rPr>
          <w:rFonts w:ascii="Arial" w:eastAsia="Times New Roman" w:hAnsi="Arial" w:cs="Arial"/>
          <w:lang w:eastAsia="es-ES"/>
        </w:rPr>
      </w:pPr>
    </w:p>
    <w:p w:rsidR="007C1C68" w:rsidRPr="00197AD8" w:rsidRDefault="007C1C68" w:rsidP="007C1C68">
      <w:pPr>
        <w:widowControl w:val="0"/>
        <w:tabs>
          <w:tab w:val="left" w:pos="0"/>
        </w:tabs>
        <w:spacing w:after="0"/>
        <w:ind w:left="426"/>
        <w:jc w:val="both"/>
        <w:rPr>
          <w:rFonts w:ascii="Arial" w:eastAsia="Times New Roman" w:hAnsi="Arial" w:cs="Arial"/>
          <w:lang w:eastAsia="es-ES"/>
        </w:rPr>
      </w:pPr>
    </w:p>
    <w:p w:rsidR="007C1C68" w:rsidRPr="00197AD8" w:rsidRDefault="007C1C68" w:rsidP="007C1C68">
      <w:pPr>
        <w:widowControl w:val="0"/>
        <w:tabs>
          <w:tab w:val="left" w:pos="0"/>
        </w:tabs>
        <w:spacing w:after="0"/>
        <w:ind w:left="426"/>
        <w:jc w:val="both"/>
        <w:rPr>
          <w:rFonts w:ascii="Arial" w:eastAsia="Times New Roman" w:hAnsi="Arial" w:cs="Arial"/>
          <w:lang w:eastAsia="es-ES"/>
        </w:rPr>
      </w:pPr>
    </w:p>
    <w:p w:rsidR="007C1C68" w:rsidRPr="00197AD8" w:rsidRDefault="007C1C68" w:rsidP="007C1C68">
      <w:pPr>
        <w:widowControl w:val="0"/>
        <w:tabs>
          <w:tab w:val="left" w:pos="0"/>
        </w:tabs>
        <w:spacing w:after="0"/>
        <w:ind w:left="426"/>
        <w:jc w:val="both"/>
        <w:rPr>
          <w:rFonts w:ascii="Arial" w:eastAsia="Times New Roman" w:hAnsi="Arial" w:cs="Arial"/>
          <w:lang w:eastAsia="es-ES"/>
        </w:rPr>
      </w:pPr>
    </w:p>
    <w:p w:rsidR="007C1C68" w:rsidRDefault="007C1C68" w:rsidP="007C1C68">
      <w:pPr>
        <w:widowControl w:val="0"/>
        <w:tabs>
          <w:tab w:val="left" w:pos="0"/>
        </w:tabs>
        <w:spacing w:after="0"/>
        <w:ind w:left="426"/>
        <w:jc w:val="both"/>
        <w:rPr>
          <w:rFonts w:ascii="Arial" w:eastAsia="Times New Roman" w:hAnsi="Arial" w:cs="Arial"/>
          <w:lang w:eastAsia="es-ES"/>
        </w:rPr>
      </w:pPr>
    </w:p>
    <w:p w:rsidR="007C1C68" w:rsidRPr="00197AD8" w:rsidRDefault="007C1C68" w:rsidP="007C1C68">
      <w:pPr>
        <w:widowControl w:val="0"/>
        <w:tabs>
          <w:tab w:val="left" w:pos="0"/>
        </w:tabs>
        <w:spacing w:after="0"/>
        <w:ind w:left="426"/>
        <w:jc w:val="both"/>
        <w:rPr>
          <w:rFonts w:ascii="Arial" w:eastAsia="Times New Roman" w:hAnsi="Arial" w:cs="Arial"/>
          <w:lang w:eastAsia="es-ES"/>
        </w:rPr>
      </w:pPr>
    </w:p>
    <w:p w:rsidR="007C1C68" w:rsidRPr="00692CF4" w:rsidRDefault="007C1C68" w:rsidP="007C1C68">
      <w:pPr>
        <w:widowControl w:val="0"/>
        <w:numPr>
          <w:ilvl w:val="0"/>
          <w:numId w:val="1"/>
        </w:numPr>
        <w:tabs>
          <w:tab w:val="left" w:pos="0"/>
        </w:tabs>
        <w:spacing w:after="0" w:line="240" w:lineRule="auto"/>
        <w:ind w:left="426"/>
        <w:contextualSpacing/>
        <w:rPr>
          <w:rFonts w:ascii="Arial" w:hAnsi="Arial" w:cs="Arial"/>
          <w:b/>
          <w:lang w:val="es-ES"/>
        </w:rPr>
      </w:pPr>
      <w:r w:rsidRPr="00692CF4">
        <w:rPr>
          <w:rFonts w:ascii="Arial" w:hAnsi="Arial" w:cs="Arial"/>
          <w:b/>
          <w:lang w:val="es-ES"/>
        </w:rPr>
        <w:t>CONSIDERACIONES GENERALES:</w:t>
      </w:r>
    </w:p>
    <w:p w:rsidR="007C1C68" w:rsidRDefault="007C1C68" w:rsidP="007C1C68">
      <w:pPr>
        <w:widowControl w:val="0"/>
        <w:tabs>
          <w:tab w:val="left" w:pos="0"/>
        </w:tabs>
        <w:ind w:left="720"/>
        <w:contextualSpacing/>
        <w:rPr>
          <w:rFonts w:ascii="Arial" w:hAnsi="Arial" w:cs="Arial"/>
          <w:b/>
          <w:u w:val="single"/>
          <w:lang w:val="es-ES"/>
        </w:rPr>
      </w:pPr>
    </w:p>
    <w:p w:rsidR="00AC550A" w:rsidRPr="007C1C68" w:rsidRDefault="00AC550A" w:rsidP="007C1C68">
      <w:pPr>
        <w:widowControl w:val="0"/>
        <w:tabs>
          <w:tab w:val="left" w:pos="0"/>
        </w:tabs>
        <w:ind w:left="720"/>
        <w:contextualSpacing/>
        <w:rPr>
          <w:rFonts w:ascii="Arial" w:hAnsi="Arial" w:cs="Arial"/>
          <w:b/>
          <w:u w:val="single"/>
          <w:lang w:val="es-ES"/>
        </w:rPr>
      </w:pPr>
    </w:p>
    <w:p w:rsidR="007C1C68" w:rsidRPr="007C1C68" w:rsidRDefault="007C1C68" w:rsidP="007C1C68">
      <w:pPr>
        <w:numPr>
          <w:ilvl w:val="1"/>
          <w:numId w:val="3"/>
        </w:numPr>
        <w:shd w:val="clear" w:color="auto" w:fill="FFFFFF"/>
        <w:spacing w:after="360" w:line="240" w:lineRule="auto"/>
        <w:contextualSpacing/>
        <w:jc w:val="both"/>
        <w:rPr>
          <w:rFonts w:ascii="Arial" w:hAnsi="Arial" w:cs="Arial"/>
          <w:b/>
          <w:color w:val="000000"/>
          <w:lang w:val="es-ES" w:eastAsia="es-CO"/>
        </w:rPr>
      </w:pPr>
      <w:r w:rsidRPr="007C1C68">
        <w:rPr>
          <w:rFonts w:ascii="Arial" w:hAnsi="Arial" w:cs="Arial"/>
          <w:b/>
          <w:color w:val="000000"/>
          <w:lang w:val="es-ES" w:eastAsia="es-CO"/>
        </w:rPr>
        <w:t>Antecedentes Normativos:</w:t>
      </w:r>
    </w:p>
    <w:p w:rsidR="007C1C68" w:rsidRPr="00197AD8" w:rsidRDefault="007C1C68" w:rsidP="007C1C68">
      <w:pPr>
        <w:shd w:val="clear" w:color="auto" w:fill="FFFFFF"/>
        <w:spacing w:after="360"/>
        <w:jc w:val="both"/>
        <w:rPr>
          <w:rFonts w:ascii="Arial" w:eastAsia="Times New Roman" w:hAnsi="Arial" w:cs="Arial"/>
          <w:color w:val="000000"/>
          <w:shd w:val="clear" w:color="auto" w:fill="FFFFFF"/>
          <w:lang w:eastAsia="es-ES"/>
        </w:rPr>
      </w:pPr>
      <w:r w:rsidRPr="00197AD8">
        <w:rPr>
          <w:rFonts w:ascii="Arial" w:eastAsia="Times New Roman" w:hAnsi="Arial" w:cs="Arial"/>
          <w:color w:val="000000"/>
          <w:shd w:val="clear" w:color="auto" w:fill="FFFFFF"/>
          <w:lang w:eastAsia="es-ES"/>
        </w:rPr>
        <w:t>De conformidad con los articulo 38 y 40 de la Ley 7 de 1979, el régimen contractual del ICBF se sujetará a las ritualidades, requisitos, formalidades, términos y condiciones que establecen las disposiciones del régimen estatal de contratos aplicables a los establecimientos públicos del orden nacional, establecidos en el Decreto 150 de 1976 (derogado por el Decreto 222 de 1983, hoy actual Ley 80 de 1993).</w:t>
      </w:r>
    </w:p>
    <w:p w:rsidR="007C1C68" w:rsidRPr="00197AD8" w:rsidRDefault="007C1C68" w:rsidP="007C1C68">
      <w:pPr>
        <w:shd w:val="clear" w:color="auto" w:fill="FFFFFF"/>
        <w:spacing w:after="360"/>
        <w:jc w:val="both"/>
        <w:rPr>
          <w:rFonts w:ascii="Arial" w:eastAsia="Times New Roman" w:hAnsi="Arial" w:cs="Arial"/>
          <w:color w:val="000000"/>
          <w:shd w:val="clear" w:color="auto" w:fill="FFFFFF"/>
          <w:lang w:eastAsia="es-ES"/>
        </w:rPr>
      </w:pPr>
      <w:r w:rsidRPr="00197AD8">
        <w:rPr>
          <w:rFonts w:ascii="Arial" w:eastAsia="Times New Roman" w:hAnsi="Arial" w:cs="Arial"/>
          <w:color w:val="000000"/>
          <w:shd w:val="clear" w:color="auto" w:fill="FFFFFF"/>
          <w:lang w:eastAsia="es-ES"/>
        </w:rPr>
        <w:t xml:space="preserve">No obstante, el Presidente de la República mediante el Decreto 2388 de 1979 desarrolla el régimen contractual del ICBF, a través de dos modalidades, </w:t>
      </w:r>
    </w:p>
    <w:p w:rsidR="007C1C68" w:rsidRPr="00197AD8" w:rsidRDefault="007C1C68" w:rsidP="007C1C68">
      <w:pPr>
        <w:numPr>
          <w:ilvl w:val="0"/>
          <w:numId w:val="2"/>
        </w:numPr>
        <w:shd w:val="clear" w:color="auto" w:fill="FFFFFF"/>
        <w:spacing w:after="360" w:line="240" w:lineRule="auto"/>
        <w:contextualSpacing/>
        <w:jc w:val="both"/>
        <w:rPr>
          <w:rFonts w:ascii="Arial" w:hAnsi="Arial" w:cs="Arial"/>
          <w:color w:val="000000"/>
          <w:shd w:val="clear" w:color="auto" w:fill="FFFFFF"/>
          <w:lang w:val="es-ES"/>
        </w:rPr>
      </w:pPr>
      <w:r w:rsidRPr="00197AD8">
        <w:rPr>
          <w:rFonts w:ascii="Arial" w:hAnsi="Arial" w:cs="Arial"/>
          <w:color w:val="000000"/>
          <w:shd w:val="clear" w:color="auto" w:fill="FFFFFF"/>
          <w:lang w:val="es-ES"/>
        </w:rPr>
        <w:t>Régimen Especial de Aportes</w:t>
      </w:r>
    </w:p>
    <w:p w:rsidR="007C1C68" w:rsidRPr="00197AD8" w:rsidRDefault="007C1C68" w:rsidP="007C1C68">
      <w:pPr>
        <w:numPr>
          <w:ilvl w:val="0"/>
          <w:numId w:val="2"/>
        </w:numPr>
        <w:shd w:val="clear" w:color="auto" w:fill="FFFFFF"/>
        <w:spacing w:after="360" w:line="240" w:lineRule="auto"/>
        <w:jc w:val="both"/>
        <w:rPr>
          <w:rFonts w:ascii="Arial" w:hAnsi="Arial" w:cs="Arial"/>
          <w:color w:val="000000"/>
          <w:shd w:val="clear" w:color="auto" w:fill="FFFFFF"/>
          <w:lang w:val="es-ES"/>
        </w:rPr>
      </w:pPr>
      <w:r w:rsidRPr="00197AD8">
        <w:rPr>
          <w:rFonts w:ascii="Arial" w:hAnsi="Arial" w:cs="Arial"/>
          <w:color w:val="000000"/>
          <w:shd w:val="clear" w:color="auto" w:fill="FFFFFF"/>
          <w:lang w:val="es-ES"/>
        </w:rPr>
        <w:t xml:space="preserve">Régimen General de Contratación.  </w:t>
      </w:r>
    </w:p>
    <w:p w:rsidR="007C1C68" w:rsidRDefault="007C1C68" w:rsidP="007C1C68">
      <w:pPr>
        <w:spacing w:after="360"/>
        <w:jc w:val="both"/>
        <w:rPr>
          <w:rFonts w:ascii="Arial" w:eastAsia="Times New Roman" w:hAnsi="Arial" w:cs="Arial"/>
          <w:lang w:eastAsia="es-ES"/>
        </w:rPr>
      </w:pPr>
      <w:r w:rsidRPr="007C1C68">
        <w:rPr>
          <w:rFonts w:ascii="Arial" w:eastAsia="Times New Roman" w:hAnsi="Arial" w:cs="Arial"/>
          <w:lang w:eastAsia="es-ES"/>
        </w:rPr>
        <w:t xml:space="preserve">Si bien, el artículo 127 del Decreto 2388 de 1979 consagra que: </w:t>
      </w:r>
    </w:p>
    <w:p w:rsidR="00F91FEC" w:rsidRPr="007C1C68" w:rsidRDefault="00F91FEC" w:rsidP="007C1C68">
      <w:pPr>
        <w:spacing w:after="360"/>
        <w:jc w:val="both"/>
        <w:rPr>
          <w:rFonts w:ascii="Arial" w:eastAsia="Times New Roman" w:hAnsi="Arial" w:cs="Arial"/>
          <w:lang w:eastAsia="es-ES"/>
        </w:rPr>
      </w:pPr>
    </w:p>
    <w:p w:rsidR="007C1C68" w:rsidRDefault="007C1C68" w:rsidP="007C1C68">
      <w:pPr>
        <w:tabs>
          <w:tab w:val="left" w:pos="1276"/>
        </w:tabs>
        <w:spacing w:after="360"/>
        <w:ind w:left="709" w:right="616"/>
        <w:jc w:val="both"/>
        <w:rPr>
          <w:rFonts w:ascii="Arial" w:eastAsia="Times New Roman" w:hAnsi="Arial" w:cs="Arial"/>
          <w:color w:val="000000"/>
          <w:lang w:eastAsia="es-ES"/>
        </w:rPr>
      </w:pPr>
      <w:r w:rsidRPr="007C1C68">
        <w:rPr>
          <w:rFonts w:ascii="Arial" w:eastAsia="Times New Roman" w:hAnsi="Arial" w:cs="Arial"/>
          <w:b/>
          <w:bCs/>
          <w:i/>
          <w:color w:val="244700"/>
          <w:lang w:eastAsia="es-ES"/>
        </w:rPr>
        <w:t>ARTÍCULO 127.</w:t>
      </w:r>
      <w:r w:rsidRPr="00197AD8">
        <w:rPr>
          <w:rFonts w:ascii="Arial" w:eastAsia="Times New Roman" w:hAnsi="Arial" w:cs="Arial"/>
          <w:i/>
          <w:color w:val="000000"/>
          <w:lang w:eastAsia="es-ES"/>
        </w:rPr>
        <w:t> </w:t>
      </w:r>
      <w:r w:rsidRPr="007C1C68">
        <w:rPr>
          <w:rFonts w:ascii="Arial" w:eastAsia="Times New Roman" w:hAnsi="Arial" w:cs="Arial"/>
          <w:i/>
          <w:color w:val="000000"/>
          <w:u w:val="single"/>
          <w:lang w:eastAsia="es-ES"/>
        </w:rPr>
        <w:t>Por la naturaleza especial del servicio de bienestar familiar, el ICBF podrá celebrar contratos de aporte</w:t>
      </w:r>
      <w:r w:rsidRPr="007C1C68">
        <w:rPr>
          <w:rFonts w:ascii="Arial" w:eastAsia="Times New Roman" w:hAnsi="Arial" w:cs="Arial"/>
          <w:i/>
          <w:color w:val="000000"/>
          <w:lang w:eastAsia="es-ES"/>
        </w:rPr>
        <w:t xml:space="preserve">, entendiéndose por tal cuando el instituto se obliga a proveer a una institución de utilidad pública o social de los bienes (edificios, dineros, etc) indispensables para la prestación total o parcial del servicio, actividad que se cumple bajo la exclusiva responsabilidad de la institución, con personal de su dependencia, pero de acuerdo con las normas y el control del Instituto Colombiano de Bienestar Familiar, su vigencia será anual, pero podrá prorrogarse de año en año. </w:t>
      </w:r>
      <w:r w:rsidRPr="007C1C68">
        <w:rPr>
          <w:rFonts w:ascii="Arial" w:eastAsia="Times New Roman" w:hAnsi="Arial" w:cs="Arial"/>
          <w:color w:val="000000"/>
          <w:lang w:eastAsia="es-ES"/>
        </w:rPr>
        <w:t>(Subrayado fuera de texto)</w:t>
      </w:r>
      <w:r w:rsidR="00AC550A">
        <w:rPr>
          <w:rFonts w:ascii="Arial" w:eastAsia="Times New Roman" w:hAnsi="Arial" w:cs="Arial"/>
          <w:color w:val="000000"/>
          <w:lang w:eastAsia="es-ES"/>
        </w:rPr>
        <w:t>.</w:t>
      </w:r>
    </w:p>
    <w:p w:rsidR="00AC550A" w:rsidRPr="007C1C68" w:rsidRDefault="00AC550A" w:rsidP="007C1C68">
      <w:pPr>
        <w:tabs>
          <w:tab w:val="left" w:pos="1276"/>
        </w:tabs>
        <w:spacing w:after="360"/>
        <w:ind w:left="709" w:right="616"/>
        <w:jc w:val="both"/>
        <w:rPr>
          <w:rFonts w:ascii="Arial" w:eastAsia="Times New Roman" w:hAnsi="Arial" w:cs="Arial"/>
          <w:color w:val="000000"/>
          <w:lang w:eastAsia="es-ES"/>
        </w:rPr>
      </w:pPr>
    </w:p>
    <w:p w:rsidR="007C1C68" w:rsidRPr="00197AD8" w:rsidRDefault="007C1C68" w:rsidP="007C1C68">
      <w:pPr>
        <w:widowControl w:val="0"/>
        <w:tabs>
          <w:tab w:val="left" w:pos="0"/>
        </w:tabs>
        <w:spacing w:after="0"/>
        <w:jc w:val="both"/>
        <w:rPr>
          <w:rFonts w:ascii="Arial" w:eastAsia="Times New Roman" w:hAnsi="Arial" w:cs="Arial"/>
          <w:bCs/>
          <w:u w:val="single"/>
          <w:lang w:eastAsia="es-ES"/>
        </w:rPr>
      </w:pPr>
      <w:r w:rsidRPr="00197AD8">
        <w:rPr>
          <w:rFonts w:ascii="Arial" w:eastAsia="Times New Roman" w:hAnsi="Arial" w:cs="Arial"/>
          <w:bCs/>
          <w:lang w:eastAsia="es-ES"/>
        </w:rPr>
        <w:t xml:space="preserve">No existe una norma de rango legal, en sentido estricto, que desarrolle este tipo de contratación, ante tal vacío el ICBF a través de un acto administrativo (Resolución No. 2690 del 14 de junio de 2012) previó el procedimiento a desarrollar para la adjudicación de estos contratos. </w:t>
      </w:r>
      <w:r w:rsidRPr="00197AD8">
        <w:rPr>
          <w:rFonts w:ascii="Arial" w:eastAsia="Times New Roman" w:hAnsi="Arial" w:cs="Arial"/>
          <w:bCs/>
          <w:u w:val="single"/>
          <w:lang w:eastAsia="es-ES"/>
        </w:rPr>
        <w:t xml:space="preserve">En dicha resolución se mencionan como componentes de la etapa contractual las clausulas exorbitantes contempladas en el artículo 14 al 18 de la Ley 80 de 1993 y que </w:t>
      </w:r>
      <w:r w:rsidRPr="007C1C68">
        <w:rPr>
          <w:rFonts w:ascii="Arial" w:eastAsia="Times New Roman" w:hAnsi="Arial" w:cs="Arial"/>
          <w:bCs/>
          <w:u w:val="single"/>
          <w:lang w:eastAsia="es-ES"/>
        </w:rPr>
        <w:t xml:space="preserve">se materializa en los contratos de aporte adjudicados para la realización de programas misionales como si se dispusiese su aplicación obligatoria por la ley. </w:t>
      </w:r>
    </w:p>
    <w:p w:rsidR="00197AD8" w:rsidRPr="00197AD8" w:rsidRDefault="00197AD8" w:rsidP="007C1C68">
      <w:pPr>
        <w:widowControl w:val="0"/>
        <w:tabs>
          <w:tab w:val="left" w:pos="0"/>
        </w:tabs>
        <w:spacing w:after="0"/>
        <w:jc w:val="both"/>
        <w:rPr>
          <w:rFonts w:ascii="Arial" w:eastAsia="Times New Roman" w:hAnsi="Arial" w:cs="Arial"/>
          <w:bCs/>
          <w:u w:val="single"/>
          <w:lang w:eastAsia="es-ES"/>
        </w:rPr>
      </w:pPr>
    </w:p>
    <w:p w:rsidR="00197AD8" w:rsidRDefault="00197AD8" w:rsidP="007C1C68">
      <w:pPr>
        <w:widowControl w:val="0"/>
        <w:tabs>
          <w:tab w:val="left" w:pos="0"/>
        </w:tabs>
        <w:spacing w:after="0"/>
        <w:jc w:val="both"/>
        <w:rPr>
          <w:rFonts w:ascii="Arial" w:eastAsia="Times New Roman" w:hAnsi="Arial" w:cs="Arial"/>
          <w:bCs/>
          <w:u w:val="single"/>
          <w:lang w:eastAsia="es-ES"/>
        </w:rPr>
      </w:pPr>
    </w:p>
    <w:p w:rsidR="00197AD8" w:rsidRDefault="00197AD8" w:rsidP="007C1C68">
      <w:pPr>
        <w:widowControl w:val="0"/>
        <w:tabs>
          <w:tab w:val="left" w:pos="0"/>
        </w:tabs>
        <w:spacing w:after="0"/>
        <w:jc w:val="both"/>
        <w:rPr>
          <w:rFonts w:ascii="Arial" w:eastAsia="Times New Roman" w:hAnsi="Arial" w:cs="Arial"/>
          <w:bCs/>
          <w:u w:val="single"/>
          <w:lang w:eastAsia="es-ES"/>
        </w:rPr>
      </w:pPr>
    </w:p>
    <w:p w:rsidR="00197AD8" w:rsidRDefault="00197AD8" w:rsidP="007C1C68">
      <w:pPr>
        <w:widowControl w:val="0"/>
        <w:tabs>
          <w:tab w:val="left" w:pos="0"/>
        </w:tabs>
        <w:spacing w:after="0"/>
        <w:jc w:val="both"/>
        <w:rPr>
          <w:rFonts w:ascii="Arial" w:eastAsia="Times New Roman" w:hAnsi="Arial" w:cs="Arial"/>
          <w:bCs/>
          <w:u w:val="single"/>
          <w:lang w:eastAsia="es-ES"/>
        </w:rPr>
      </w:pPr>
    </w:p>
    <w:p w:rsidR="00197AD8" w:rsidRPr="007C1C68" w:rsidRDefault="00197AD8" w:rsidP="007C1C68">
      <w:pPr>
        <w:widowControl w:val="0"/>
        <w:tabs>
          <w:tab w:val="left" w:pos="0"/>
        </w:tabs>
        <w:spacing w:after="0"/>
        <w:jc w:val="both"/>
        <w:rPr>
          <w:rFonts w:ascii="Arial" w:eastAsia="Times New Roman" w:hAnsi="Arial" w:cs="Arial"/>
          <w:bCs/>
          <w:u w:val="single"/>
          <w:lang w:eastAsia="es-ES"/>
        </w:rPr>
      </w:pPr>
    </w:p>
    <w:p w:rsidR="007C1C68" w:rsidRPr="007C1C68" w:rsidRDefault="007C1C68" w:rsidP="007C1C68">
      <w:pPr>
        <w:numPr>
          <w:ilvl w:val="1"/>
          <w:numId w:val="2"/>
        </w:numPr>
        <w:tabs>
          <w:tab w:val="left" w:pos="1276"/>
        </w:tabs>
        <w:spacing w:after="360" w:line="240" w:lineRule="auto"/>
        <w:ind w:left="709" w:right="616"/>
        <w:contextualSpacing/>
        <w:jc w:val="both"/>
        <w:rPr>
          <w:rFonts w:ascii="Arial" w:hAnsi="Arial" w:cs="Arial"/>
          <w:b/>
          <w:lang w:val="es-ES"/>
        </w:rPr>
      </w:pPr>
      <w:r w:rsidRPr="007C1C68">
        <w:rPr>
          <w:rFonts w:ascii="Arial" w:hAnsi="Arial" w:cs="Arial"/>
          <w:b/>
          <w:lang w:val="es-ES"/>
        </w:rPr>
        <w:t>Disposiciones jurisprudenciales sobre el Contrato de Aporte:</w:t>
      </w:r>
    </w:p>
    <w:p w:rsidR="00197AD8" w:rsidRDefault="00197AD8" w:rsidP="007C1C68">
      <w:pPr>
        <w:spacing w:after="240"/>
        <w:jc w:val="both"/>
        <w:rPr>
          <w:rFonts w:ascii="Arial" w:eastAsia="Times New Roman" w:hAnsi="Arial" w:cs="Arial"/>
          <w:lang w:eastAsia="es-ES"/>
        </w:rPr>
      </w:pPr>
    </w:p>
    <w:p w:rsidR="007C1C68" w:rsidRPr="007C1C68" w:rsidRDefault="007C1C68" w:rsidP="007C1C68">
      <w:pPr>
        <w:spacing w:after="240"/>
        <w:jc w:val="both"/>
        <w:rPr>
          <w:rFonts w:ascii="Arial" w:eastAsia="Times New Roman" w:hAnsi="Arial" w:cs="Arial"/>
          <w:lang w:eastAsia="es-ES"/>
        </w:rPr>
      </w:pPr>
      <w:r w:rsidRPr="007C1C68">
        <w:rPr>
          <w:rFonts w:ascii="Arial" w:eastAsia="Times New Roman" w:hAnsi="Arial" w:cs="Arial"/>
          <w:lang w:eastAsia="es-ES"/>
        </w:rPr>
        <w:t>Para el Consejo de Estado</w:t>
      </w:r>
      <w:r w:rsidRPr="00197AD8">
        <w:rPr>
          <w:rFonts w:ascii="Arial" w:eastAsia="Times New Roman" w:hAnsi="Arial" w:cs="Arial"/>
          <w:vertAlign w:val="superscript"/>
          <w:lang w:eastAsia="es-ES"/>
        </w:rPr>
        <w:footnoteReference w:id="1"/>
      </w:r>
      <w:r w:rsidRPr="007C1C68">
        <w:rPr>
          <w:rFonts w:ascii="Arial" w:eastAsia="Times New Roman" w:hAnsi="Arial" w:cs="Arial"/>
          <w:lang w:eastAsia="es-ES"/>
        </w:rPr>
        <w:t xml:space="preserve">, </w:t>
      </w:r>
    </w:p>
    <w:p w:rsidR="007C1C68" w:rsidRPr="007C1C68" w:rsidRDefault="007C1C68" w:rsidP="007C1C68">
      <w:pPr>
        <w:spacing w:after="240"/>
        <w:ind w:left="851" w:right="900"/>
        <w:jc w:val="both"/>
        <w:rPr>
          <w:rFonts w:ascii="Arial" w:eastAsia="Times New Roman" w:hAnsi="Arial" w:cs="Arial"/>
          <w:i/>
          <w:lang w:eastAsia="es-ES"/>
        </w:rPr>
      </w:pPr>
      <w:r w:rsidRPr="007C1C68">
        <w:rPr>
          <w:rFonts w:ascii="Arial" w:eastAsia="Times New Roman" w:hAnsi="Arial" w:cs="Arial"/>
          <w:lang w:eastAsia="es-ES"/>
        </w:rPr>
        <w:t>“</w:t>
      </w:r>
      <w:r w:rsidRPr="007C1C68">
        <w:rPr>
          <w:rFonts w:ascii="Arial" w:eastAsia="Times New Roman" w:hAnsi="Arial" w:cs="Arial"/>
          <w:i/>
          <w:lang w:eastAsia="es-ES"/>
        </w:rPr>
        <w:t xml:space="preserve">el negocio jurídico de aporte </w:t>
      </w:r>
      <w:r w:rsidRPr="007C1C68">
        <w:rPr>
          <w:rFonts w:ascii="Arial" w:eastAsia="Times New Roman" w:hAnsi="Arial" w:cs="Arial"/>
          <w:b/>
          <w:i/>
          <w:u w:val="single"/>
          <w:lang w:eastAsia="es-ES"/>
        </w:rPr>
        <w:t>es un contrato estatal especial suscrito entre el ICBF y un contratista,</w:t>
      </w:r>
      <w:r w:rsidRPr="007C1C68">
        <w:rPr>
          <w:rFonts w:ascii="Arial" w:eastAsia="Times New Roman" w:hAnsi="Arial" w:cs="Arial"/>
          <w:i/>
          <w:lang w:eastAsia="es-ES"/>
        </w:rPr>
        <w:t xml:space="preserve"> en el que el primero se compromete, como su nombre lo indica, a efectuar aportes o contribuciones en dinero o especie a una persona natural o jurídica, nacional o extranjera, y especialmente a instituciones de utilidad pública o de beneficencia, o de reconocida capacidad técnica o social con el fin de que atienda bajo su exclusiva responsabilidad y con su propio personal humano y técnico, un área específica del sistema de bienestar social, es decir, aquellas dirigidas a la atención a la integración y realización armónica de la familia, así como a la protección efectiva de la niñez y adolescencia”</w:t>
      </w:r>
    </w:p>
    <w:p w:rsidR="007C1C68" w:rsidRPr="007C1C68" w:rsidRDefault="007C1C68" w:rsidP="007C1C68">
      <w:pPr>
        <w:spacing w:after="240"/>
        <w:ind w:right="900"/>
        <w:jc w:val="both"/>
        <w:rPr>
          <w:rFonts w:ascii="Arial" w:eastAsia="Times New Roman" w:hAnsi="Arial" w:cs="Arial"/>
          <w:i/>
          <w:lang w:eastAsia="es-ES"/>
        </w:rPr>
      </w:pPr>
      <w:r w:rsidRPr="007C1C68">
        <w:rPr>
          <w:rFonts w:ascii="Arial" w:eastAsia="Times New Roman" w:hAnsi="Arial" w:cs="Arial"/>
          <w:i/>
          <w:lang w:eastAsia="es-ES"/>
        </w:rPr>
        <w:t xml:space="preserve">Y precisa que: </w:t>
      </w:r>
    </w:p>
    <w:p w:rsidR="007C1C68" w:rsidRPr="007C1C68" w:rsidRDefault="007C1C68" w:rsidP="007C1C68">
      <w:pPr>
        <w:spacing w:after="240"/>
        <w:ind w:left="851" w:right="900"/>
        <w:jc w:val="both"/>
        <w:rPr>
          <w:rFonts w:ascii="Arial" w:hAnsi="Arial" w:cs="Arial"/>
          <w:shd w:val="clear" w:color="auto" w:fill="FFFFFF"/>
          <w:lang w:val="es-ES"/>
        </w:rPr>
      </w:pPr>
      <w:r w:rsidRPr="007C1C68">
        <w:rPr>
          <w:rFonts w:ascii="Arial" w:hAnsi="Arial" w:cs="Arial"/>
          <w:i/>
          <w:lang w:val="es-ES"/>
        </w:rPr>
        <w:t xml:space="preserve">(….) </w:t>
      </w:r>
      <w:r w:rsidRPr="007C1C68">
        <w:rPr>
          <w:rFonts w:ascii="Arial" w:hAnsi="Arial" w:cs="Arial"/>
          <w:i/>
          <w:shd w:val="clear" w:color="auto" w:fill="FFFFFF"/>
          <w:lang w:val="es-ES"/>
        </w:rPr>
        <w:t>de otro lado este contrato no corresponde a la enumeración prevista en</w:t>
      </w:r>
      <w:r w:rsidRPr="00197AD8">
        <w:rPr>
          <w:rFonts w:ascii="Arial" w:hAnsi="Arial" w:cs="Arial"/>
          <w:i/>
          <w:shd w:val="clear" w:color="auto" w:fill="FFFFFF"/>
          <w:lang w:val="es-ES"/>
        </w:rPr>
        <w:t> </w:t>
      </w:r>
      <w:r w:rsidRPr="007C1C68">
        <w:rPr>
          <w:rFonts w:ascii="Arial" w:hAnsi="Arial" w:cs="Arial"/>
          <w:i/>
          <w:lang w:val="es-ES"/>
        </w:rPr>
        <w:t>la Ley</w:t>
      </w:r>
      <w:r w:rsidRPr="00197AD8">
        <w:rPr>
          <w:rFonts w:ascii="Arial" w:hAnsi="Arial" w:cs="Arial"/>
          <w:i/>
          <w:shd w:val="clear" w:color="auto" w:fill="FFFFFF"/>
          <w:lang w:val="es-ES"/>
        </w:rPr>
        <w:t> </w:t>
      </w:r>
      <w:r w:rsidRPr="007C1C68">
        <w:rPr>
          <w:rFonts w:ascii="Arial" w:hAnsi="Arial" w:cs="Arial"/>
          <w:i/>
          <w:shd w:val="clear" w:color="auto" w:fill="FFFFFF"/>
          <w:lang w:val="es-ES"/>
        </w:rPr>
        <w:t xml:space="preserve">80 de 1993 o Estatuto de Contratación, la cual tiene por objeto regular los correspondientes a las entidades estatales, entre las que se encuentran los establecimientos públicos; sin embargo siendo </w:t>
      </w:r>
      <w:r w:rsidRPr="007C1C68">
        <w:rPr>
          <w:rFonts w:ascii="Arial" w:hAnsi="Arial" w:cs="Arial"/>
          <w:b/>
          <w:i/>
          <w:u w:val="single"/>
          <w:shd w:val="clear" w:color="auto" w:fill="FFFFFF"/>
          <w:lang w:val="es-ES"/>
        </w:rPr>
        <w:t>un contrato atípico</w:t>
      </w:r>
      <w:r w:rsidRPr="007C1C68">
        <w:rPr>
          <w:rFonts w:ascii="Arial" w:hAnsi="Arial" w:cs="Arial"/>
          <w:i/>
          <w:shd w:val="clear" w:color="auto" w:fill="FFFFFF"/>
          <w:lang w:val="es-ES"/>
        </w:rPr>
        <w:t>, se enmarca en el texto de los artículos 32 y 40 de esta ley a cuyo régimen se sujetan</w:t>
      </w:r>
      <w:r w:rsidRPr="00197AD8">
        <w:rPr>
          <w:rFonts w:ascii="Arial" w:hAnsi="Arial" w:cs="Arial"/>
          <w:i/>
          <w:shd w:val="clear" w:color="auto" w:fill="FFFFFF"/>
          <w:vertAlign w:val="superscript"/>
          <w:lang w:val="es-ES"/>
        </w:rPr>
        <w:footnoteReference w:id="2"/>
      </w:r>
      <w:r w:rsidRPr="007C1C68">
        <w:rPr>
          <w:rFonts w:ascii="Arial" w:hAnsi="Arial" w:cs="Arial"/>
          <w:i/>
          <w:shd w:val="clear" w:color="auto" w:fill="FFFFFF"/>
          <w:lang w:val="es-ES"/>
        </w:rPr>
        <w:t>.</w:t>
      </w:r>
      <w:r w:rsidRPr="007C1C68">
        <w:rPr>
          <w:rFonts w:ascii="Arial" w:hAnsi="Arial" w:cs="Arial"/>
          <w:shd w:val="clear" w:color="auto" w:fill="FFFFFF"/>
          <w:lang w:val="es-ES"/>
        </w:rPr>
        <w:t xml:space="preserve"> (Negrita fuera de texto)</w:t>
      </w:r>
    </w:p>
    <w:p w:rsidR="007C1C68" w:rsidRDefault="007C1C68" w:rsidP="00197AD8">
      <w:pPr>
        <w:pStyle w:val="Prrafodelista"/>
        <w:tabs>
          <w:tab w:val="left" w:pos="1276"/>
        </w:tabs>
        <w:spacing w:after="360"/>
        <w:ind w:left="284" w:right="49"/>
        <w:contextualSpacing w:val="0"/>
        <w:jc w:val="both"/>
        <w:rPr>
          <w:rFonts w:ascii="Arial" w:hAnsi="Arial" w:cs="Arial"/>
          <w:lang w:val="es-ES"/>
        </w:rPr>
      </w:pPr>
      <w:r w:rsidRPr="00197AD8">
        <w:rPr>
          <w:rFonts w:ascii="Arial" w:eastAsia="Times New Roman" w:hAnsi="Arial" w:cs="Arial"/>
          <w:lang w:eastAsia="es-ES"/>
        </w:rPr>
        <w:t xml:space="preserve">Con la expedición de la Ley 80 de 1993, la naturaleza de las clausulas exorbitantes se modificó bajo el supuesto que estas no hacen parte del contrato mismo sino que llegan a convertirse en verdaderos “poderes de la administración”. De esta forma, el Legislador consideró la necesidad de </w:t>
      </w:r>
      <w:r w:rsidRPr="00197AD8">
        <w:rPr>
          <w:rFonts w:ascii="Arial" w:hAnsi="Arial" w:cs="Arial"/>
          <w:lang w:val="es-ES"/>
        </w:rPr>
        <w:t>clasificar en qué tipo de contratos son de aplicación obligatoria, en cuales son facultativas y en los que su aplicación es prohibida, como lo ilustra Profesor Borja</w:t>
      </w:r>
      <w:r w:rsidRPr="00197AD8">
        <w:rPr>
          <w:vertAlign w:val="superscript"/>
          <w:lang w:val="es-ES"/>
        </w:rPr>
        <w:footnoteReference w:id="3"/>
      </w:r>
      <w:r w:rsidRPr="00197AD8">
        <w:rPr>
          <w:rFonts w:ascii="Arial" w:hAnsi="Arial" w:cs="Arial"/>
          <w:lang w:val="es-ES"/>
        </w:rPr>
        <w:t>:</w:t>
      </w:r>
    </w:p>
    <w:p w:rsidR="00AC550A" w:rsidRDefault="00AC550A" w:rsidP="00197AD8">
      <w:pPr>
        <w:pStyle w:val="Prrafodelista"/>
        <w:tabs>
          <w:tab w:val="left" w:pos="1276"/>
        </w:tabs>
        <w:spacing w:after="360"/>
        <w:ind w:left="284" w:right="49"/>
        <w:contextualSpacing w:val="0"/>
        <w:jc w:val="both"/>
        <w:rPr>
          <w:rFonts w:ascii="Arial" w:hAnsi="Arial" w:cs="Arial"/>
          <w:lang w:val="es-ES"/>
        </w:rPr>
      </w:pPr>
    </w:p>
    <w:p w:rsidR="00AC550A" w:rsidRPr="00197AD8" w:rsidRDefault="00AC550A" w:rsidP="00197AD8">
      <w:pPr>
        <w:pStyle w:val="Prrafodelista"/>
        <w:tabs>
          <w:tab w:val="left" w:pos="1276"/>
        </w:tabs>
        <w:spacing w:after="360"/>
        <w:ind w:left="284" w:right="49"/>
        <w:contextualSpacing w:val="0"/>
        <w:jc w:val="both"/>
        <w:rPr>
          <w:rFonts w:ascii="Arial" w:hAnsi="Arial" w:cs="Arial"/>
          <w:lang w:val="es-ES"/>
        </w:rPr>
      </w:pPr>
    </w:p>
    <w:p w:rsidR="007C1C68" w:rsidRDefault="007C1C68" w:rsidP="007C1C68">
      <w:pPr>
        <w:numPr>
          <w:ilvl w:val="0"/>
          <w:numId w:val="5"/>
        </w:numPr>
        <w:spacing w:after="240" w:line="240" w:lineRule="auto"/>
        <w:jc w:val="both"/>
        <w:rPr>
          <w:rFonts w:ascii="Arial" w:hAnsi="Arial" w:cs="Arial"/>
          <w:i/>
          <w:lang w:val="es-ES"/>
        </w:rPr>
      </w:pPr>
      <w:r w:rsidRPr="007C1C68">
        <w:rPr>
          <w:rFonts w:ascii="Arial" w:hAnsi="Arial" w:cs="Arial"/>
          <w:i/>
          <w:lang w:val="es-ES"/>
        </w:rPr>
        <w:t>Contratos en los cuales es legalmente obligatorio la inclusión de las clausulas exorbitantes, hace referencia a:</w:t>
      </w:r>
    </w:p>
    <w:p w:rsidR="007C1C68" w:rsidRPr="007C1C68" w:rsidRDefault="007C1C68" w:rsidP="007C1C68">
      <w:pPr>
        <w:numPr>
          <w:ilvl w:val="0"/>
          <w:numId w:val="4"/>
        </w:numPr>
        <w:spacing w:after="0" w:line="240" w:lineRule="auto"/>
        <w:ind w:left="1418"/>
        <w:jc w:val="both"/>
        <w:rPr>
          <w:rFonts w:ascii="Arial" w:hAnsi="Arial" w:cs="Arial"/>
          <w:lang w:val="es-ES"/>
        </w:rPr>
      </w:pPr>
      <w:r w:rsidRPr="007C1C68">
        <w:rPr>
          <w:rFonts w:ascii="Arial" w:hAnsi="Arial" w:cs="Arial"/>
          <w:lang w:val="es-ES"/>
        </w:rPr>
        <w:t>Contratos cuyo objeto constituye monopolio estatal</w:t>
      </w:r>
    </w:p>
    <w:p w:rsidR="007C1C68" w:rsidRPr="007C1C68" w:rsidRDefault="007C1C68" w:rsidP="007C1C68">
      <w:pPr>
        <w:numPr>
          <w:ilvl w:val="0"/>
          <w:numId w:val="4"/>
        </w:numPr>
        <w:spacing w:after="0" w:line="240" w:lineRule="auto"/>
        <w:ind w:left="1418"/>
        <w:jc w:val="both"/>
        <w:rPr>
          <w:rFonts w:ascii="Arial" w:hAnsi="Arial" w:cs="Arial"/>
          <w:lang w:val="es-ES"/>
        </w:rPr>
      </w:pPr>
      <w:r w:rsidRPr="007C1C68">
        <w:rPr>
          <w:rFonts w:ascii="Arial" w:hAnsi="Arial" w:cs="Arial"/>
          <w:lang w:val="es-ES"/>
        </w:rPr>
        <w:t>Contratos de prestación de servicios públicos</w:t>
      </w:r>
    </w:p>
    <w:p w:rsidR="007C1C68" w:rsidRPr="007C1C68" w:rsidRDefault="007C1C68" w:rsidP="007C1C68">
      <w:pPr>
        <w:numPr>
          <w:ilvl w:val="0"/>
          <w:numId w:val="4"/>
        </w:numPr>
        <w:spacing w:after="0" w:line="240" w:lineRule="auto"/>
        <w:ind w:left="1418"/>
        <w:jc w:val="both"/>
        <w:rPr>
          <w:rFonts w:ascii="Arial" w:hAnsi="Arial" w:cs="Arial"/>
          <w:lang w:val="es-ES"/>
        </w:rPr>
      </w:pPr>
      <w:r w:rsidRPr="007C1C68">
        <w:rPr>
          <w:rFonts w:ascii="Arial" w:hAnsi="Arial" w:cs="Arial"/>
          <w:lang w:val="es-ES"/>
        </w:rPr>
        <w:t>Contratos de explotación y exploración de bienes</w:t>
      </w:r>
    </w:p>
    <w:p w:rsidR="007C1C68" w:rsidRPr="007C1C68" w:rsidRDefault="007C1C68" w:rsidP="007C1C68">
      <w:pPr>
        <w:numPr>
          <w:ilvl w:val="0"/>
          <w:numId w:val="4"/>
        </w:numPr>
        <w:spacing w:after="0" w:line="240" w:lineRule="auto"/>
        <w:ind w:left="1418"/>
        <w:jc w:val="both"/>
        <w:rPr>
          <w:rFonts w:ascii="Arial" w:hAnsi="Arial" w:cs="Arial"/>
          <w:lang w:val="es-ES"/>
        </w:rPr>
      </w:pPr>
      <w:r w:rsidRPr="007C1C68">
        <w:rPr>
          <w:rFonts w:ascii="Arial" w:hAnsi="Arial" w:cs="Arial"/>
          <w:lang w:val="es-ES"/>
        </w:rPr>
        <w:t>Contratos de obra</w:t>
      </w:r>
    </w:p>
    <w:p w:rsidR="007C1C68" w:rsidRPr="007C1C68" w:rsidRDefault="007C1C68" w:rsidP="007C1C68">
      <w:pPr>
        <w:spacing w:after="0"/>
        <w:ind w:left="1418"/>
        <w:jc w:val="both"/>
        <w:rPr>
          <w:rFonts w:ascii="Arial" w:hAnsi="Arial" w:cs="Arial"/>
          <w:lang w:val="es-ES"/>
        </w:rPr>
      </w:pPr>
    </w:p>
    <w:p w:rsidR="007C1C68" w:rsidRPr="007C1C68" w:rsidRDefault="007C1C68" w:rsidP="007C1C68">
      <w:pPr>
        <w:numPr>
          <w:ilvl w:val="0"/>
          <w:numId w:val="5"/>
        </w:numPr>
        <w:spacing w:after="0" w:line="240" w:lineRule="auto"/>
        <w:jc w:val="both"/>
        <w:rPr>
          <w:rFonts w:ascii="Arial" w:hAnsi="Arial" w:cs="Arial"/>
          <w:i/>
          <w:lang w:val="es-ES"/>
        </w:rPr>
      </w:pPr>
      <w:r w:rsidRPr="007C1C68">
        <w:rPr>
          <w:rFonts w:ascii="Arial" w:hAnsi="Arial" w:cs="Arial"/>
          <w:i/>
          <w:lang w:val="es-ES"/>
        </w:rPr>
        <w:t>Contratos en los cuales se encuentra prohibido pactarlas, estos son:</w:t>
      </w:r>
    </w:p>
    <w:p w:rsidR="007C1C68" w:rsidRPr="007C1C68" w:rsidRDefault="007C1C68" w:rsidP="007C1C68">
      <w:pPr>
        <w:spacing w:after="0"/>
        <w:ind w:left="1080"/>
        <w:jc w:val="both"/>
        <w:rPr>
          <w:rFonts w:ascii="Arial" w:hAnsi="Arial" w:cs="Arial"/>
          <w:i/>
          <w:lang w:val="es-ES"/>
        </w:rPr>
      </w:pPr>
    </w:p>
    <w:p w:rsidR="007C1C68" w:rsidRPr="007C1C68" w:rsidRDefault="007C1C68" w:rsidP="007C1C68">
      <w:pPr>
        <w:numPr>
          <w:ilvl w:val="0"/>
          <w:numId w:val="4"/>
        </w:numPr>
        <w:spacing w:after="0" w:line="240" w:lineRule="auto"/>
        <w:ind w:left="1418"/>
        <w:jc w:val="both"/>
        <w:rPr>
          <w:rFonts w:ascii="Arial" w:hAnsi="Arial" w:cs="Arial"/>
          <w:lang w:val="es-ES"/>
        </w:rPr>
      </w:pPr>
      <w:r w:rsidRPr="007C1C68">
        <w:rPr>
          <w:rFonts w:ascii="Arial" w:hAnsi="Arial" w:cs="Arial"/>
          <w:lang w:val="es-ES"/>
        </w:rPr>
        <w:t>Contratos celebrados con personas públicas internacionales, o de cooperación, ayuda o asistencia.</w:t>
      </w:r>
    </w:p>
    <w:p w:rsidR="007C1C68" w:rsidRPr="007C1C68" w:rsidRDefault="007C1C68" w:rsidP="007C1C68">
      <w:pPr>
        <w:numPr>
          <w:ilvl w:val="0"/>
          <w:numId w:val="4"/>
        </w:numPr>
        <w:spacing w:after="0" w:line="240" w:lineRule="auto"/>
        <w:ind w:left="1418"/>
        <w:jc w:val="both"/>
        <w:rPr>
          <w:rFonts w:ascii="Arial" w:hAnsi="Arial" w:cs="Arial"/>
          <w:lang w:val="es-ES"/>
        </w:rPr>
      </w:pPr>
      <w:r w:rsidRPr="007C1C68">
        <w:rPr>
          <w:rFonts w:ascii="Arial" w:hAnsi="Arial" w:cs="Arial"/>
          <w:lang w:val="es-ES"/>
        </w:rPr>
        <w:t>Contratos interadministrativos</w:t>
      </w:r>
    </w:p>
    <w:p w:rsidR="007C1C68" w:rsidRPr="007C1C68" w:rsidRDefault="007C1C68" w:rsidP="007C1C68">
      <w:pPr>
        <w:numPr>
          <w:ilvl w:val="0"/>
          <w:numId w:val="4"/>
        </w:numPr>
        <w:spacing w:after="0" w:line="240" w:lineRule="auto"/>
        <w:ind w:left="1418"/>
        <w:jc w:val="both"/>
        <w:rPr>
          <w:rFonts w:ascii="Arial" w:hAnsi="Arial" w:cs="Arial"/>
          <w:lang w:val="es-ES"/>
        </w:rPr>
      </w:pPr>
      <w:r w:rsidRPr="007C1C68">
        <w:rPr>
          <w:rFonts w:ascii="Arial" w:hAnsi="Arial" w:cs="Arial"/>
          <w:lang w:val="es-ES"/>
        </w:rPr>
        <w:t xml:space="preserve">Contratos de empréstitos </w:t>
      </w:r>
    </w:p>
    <w:p w:rsidR="007C1C68" w:rsidRPr="007C1C68" w:rsidRDefault="007C1C68" w:rsidP="007C1C68">
      <w:pPr>
        <w:numPr>
          <w:ilvl w:val="0"/>
          <w:numId w:val="4"/>
        </w:numPr>
        <w:spacing w:after="0" w:line="240" w:lineRule="auto"/>
        <w:ind w:left="1418"/>
        <w:jc w:val="both"/>
        <w:rPr>
          <w:rFonts w:ascii="Arial" w:hAnsi="Arial" w:cs="Arial"/>
          <w:lang w:val="es-ES"/>
        </w:rPr>
      </w:pPr>
      <w:r w:rsidRPr="007C1C68">
        <w:rPr>
          <w:rFonts w:ascii="Arial" w:hAnsi="Arial" w:cs="Arial"/>
          <w:lang w:val="es-ES"/>
        </w:rPr>
        <w:t>Contratos de donación</w:t>
      </w:r>
    </w:p>
    <w:p w:rsidR="007C1C68" w:rsidRPr="007C1C68" w:rsidRDefault="007C1C68" w:rsidP="007C1C68">
      <w:pPr>
        <w:numPr>
          <w:ilvl w:val="0"/>
          <w:numId w:val="4"/>
        </w:numPr>
        <w:spacing w:after="0" w:line="240" w:lineRule="auto"/>
        <w:ind w:left="1418"/>
        <w:jc w:val="both"/>
        <w:rPr>
          <w:rFonts w:ascii="Arial" w:hAnsi="Arial" w:cs="Arial"/>
          <w:lang w:val="es-ES"/>
        </w:rPr>
      </w:pPr>
      <w:r w:rsidRPr="007C1C68">
        <w:rPr>
          <w:rFonts w:ascii="Arial" w:hAnsi="Arial" w:cs="Arial"/>
          <w:lang w:val="es-ES"/>
        </w:rPr>
        <w:t>Contratos de arrendamiento</w:t>
      </w:r>
    </w:p>
    <w:p w:rsidR="007C1C68" w:rsidRPr="007C1C68" w:rsidRDefault="007C1C68" w:rsidP="007C1C68">
      <w:pPr>
        <w:numPr>
          <w:ilvl w:val="0"/>
          <w:numId w:val="4"/>
        </w:numPr>
        <w:spacing w:after="0" w:line="240" w:lineRule="auto"/>
        <w:ind w:left="1418"/>
        <w:jc w:val="both"/>
        <w:rPr>
          <w:rFonts w:ascii="Arial" w:hAnsi="Arial" w:cs="Arial"/>
          <w:lang w:val="es-ES"/>
        </w:rPr>
      </w:pPr>
      <w:r w:rsidRPr="007C1C68">
        <w:rPr>
          <w:rFonts w:ascii="Arial" w:hAnsi="Arial" w:cs="Arial"/>
          <w:lang w:val="es-ES"/>
        </w:rPr>
        <w:t xml:space="preserve">Contrato de actividades comerciales o industriales </w:t>
      </w:r>
    </w:p>
    <w:p w:rsidR="007C1C68" w:rsidRPr="007C1C68" w:rsidRDefault="007C1C68" w:rsidP="007C1C68">
      <w:pPr>
        <w:numPr>
          <w:ilvl w:val="0"/>
          <w:numId w:val="4"/>
        </w:numPr>
        <w:spacing w:after="0" w:line="240" w:lineRule="auto"/>
        <w:ind w:left="1418"/>
        <w:jc w:val="both"/>
        <w:rPr>
          <w:rFonts w:ascii="Arial" w:hAnsi="Arial" w:cs="Arial"/>
          <w:lang w:val="es-ES"/>
        </w:rPr>
      </w:pPr>
      <w:r w:rsidRPr="007C1C68">
        <w:rPr>
          <w:rFonts w:ascii="Arial" w:hAnsi="Arial" w:cs="Arial"/>
          <w:lang w:val="es-ES"/>
        </w:rPr>
        <w:t>Contratos de actividades científicas o tecnológicas</w:t>
      </w:r>
    </w:p>
    <w:p w:rsidR="007C1C68" w:rsidRPr="007C1C68" w:rsidRDefault="007C1C68" w:rsidP="007C1C68">
      <w:pPr>
        <w:numPr>
          <w:ilvl w:val="0"/>
          <w:numId w:val="4"/>
        </w:numPr>
        <w:spacing w:after="0" w:line="240" w:lineRule="auto"/>
        <w:ind w:left="1418"/>
        <w:jc w:val="both"/>
        <w:rPr>
          <w:rFonts w:ascii="Arial" w:hAnsi="Arial" w:cs="Arial"/>
          <w:lang w:val="es-ES"/>
        </w:rPr>
      </w:pPr>
      <w:r w:rsidRPr="007C1C68">
        <w:rPr>
          <w:rFonts w:ascii="Arial" w:hAnsi="Arial" w:cs="Arial"/>
          <w:lang w:val="es-ES"/>
        </w:rPr>
        <w:t xml:space="preserve">Contratos de seguro </w:t>
      </w:r>
    </w:p>
    <w:p w:rsidR="007C1C68" w:rsidRPr="007C1C68" w:rsidRDefault="007C1C68" w:rsidP="007C1C68">
      <w:pPr>
        <w:spacing w:after="0"/>
        <w:ind w:left="1418"/>
        <w:jc w:val="both"/>
        <w:rPr>
          <w:rFonts w:ascii="Arial" w:hAnsi="Arial" w:cs="Arial"/>
          <w:lang w:val="es-ES"/>
        </w:rPr>
      </w:pPr>
    </w:p>
    <w:p w:rsidR="007C1C68" w:rsidRPr="007C1C68" w:rsidRDefault="007C1C68" w:rsidP="007C1C68">
      <w:pPr>
        <w:numPr>
          <w:ilvl w:val="0"/>
          <w:numId w:val="5"/>
        </w:numPr>
        <w:spacing w:after="0" w:line="240" w:lineRule="auto"/>
        <w:jc w:val="both"/>
        <w:rPr>
          <w:rFonts w:ascii="Arial" w:hAnsi="Arial" w:cs="Arial"/>
          <w:lang w:val="es-ES"/>
        </w:rPr>
      </w:pPr>
      <w:r w:rsidRPr="007C1C68">
        <w:rPr>
          <w:rFonts w:ascii="Arial" w:hAnsi="Arial" w:cs="Arial"/>
          <w:lang w:val="es-ES"/>
        </w:rPr>
        <w:t xml:space="preserve"> </w:t>
      </w:r>
      <w:r w:rsidRPr="007C1C68">
        <w:rPr>
          <w:rFonts w:ascii="Arial" w:hAnsi="Arial" w:cs="Arial"/>
          <w:i/>
          <w:lang w:val="es-ES"/>
        </w:rPr>
        <w:t>Contratos en los cuales previamente la ley autoriza su inclusión pero no las impone, siendo</w:t>
      </w:r>
      <w:r w:rsidRPr="007C1C68">
        <w:rPr>
          <w:rFonts w:ascii="Arial" w:hAnsi="Arial" w:cs="Arial"/>
          <w:lang w:val="es-ES"/>
        </w:rPr>
        <w:t>:</w:t>
      </w:r>
    </w:p>
    <w:p w:rsidR="007C1C68" w:rsidRPr="007C1C68" w:rsidRDefault="007C1C68" w:rsidP="007C1C68">
      <w:pPr>
        <w:spacing w:after="0"/>
        <w:ind w:left="1080"/>
        <w:jc w:val="both"/>
        <w:rPr>
          <w:rFonts w:ascii="Arial" w:hAnsi="Arial" w:cs="Arial"/>
          <w:lang w:val="es-ES"/>
        </w:rPr>
      </w:pPr>
    </w:p>
    <w:p w:rsidR="007C1C68" w:rsidRPr="007C1C68" w:rsidRDefault="007C1C68" w:rsidP="007C1C68">
      <w:pPr>
        <w:numPr>
          <w:ilvl w:val="0"/>
          <w:numId w:val="4"/>
        </w:numPr>
        <w:spacing w:after="0" w:line="240" w:lineRule="auto"/>
        <w:ind w:left="1418"/>
        <w:jc w:val="both"/>
        <w:rPr>
          <w:rFonts w:ascii="Arial" w:hAnsi="Arial" w:cs="Arial"/>
          <w:lang w:val="es-ES"/>
        </w:rPr>
      </w:pPr>
      <w:r w:rsidRPr="007C1C68">
        <w:rPr>
          <w:rFonts w:ascii="Arial" w:hAnsi="Arial" w:cs="Arial"/>
          <w:lang w:val="es-ES"/>
        </w:rPr>
        <w:t>Contratos de prestación de servicios</w:t>
      </w:r>
    </w:p>
    <w:p w:rsidR="007C1C68" w:rsidRPr="007C1C68" w:rsidRDefault="007C1C68" w:rsidP="007C1C68">
      <w:pPr>
        <w:numPr>
          <w:ilvl w:val="0"/>
          <w:numId w:val="4"/>
        </w:numPr>
        <w:spacing w:after="0" w:line="240" w:lineRule="auto"/>
        <w:ind w:left="1418"/>
        <w:jc w:val="both"/>
        <w:rPr>
          <w:rFonts w:ascii="Arial" w:hAnsi="Arial" w:cs="Arial"/>
          <w:lang w:val="es-ES"/>
        </w:rPr>
      </w:pPr>
      <w:r w:rsidRPr="007C1C68">
        <w:rPr>
          <w:rFonts w:ascii="Arial" w:hAnsi="Arial" w:cs="Arial"/>
          <w:lang w:val="es-ES"/>
        </w:rPr>
        <w:t>Contratos de suministro</w:t>
      </w:r>
    </w:p>
    <w:p w:rsidR="00197AD8" w:rsidRDefault="00197AD8" w:rsidP="007C1C68">
      <w:pPr>
        <w:widowControl w:val="0"/>
        <w:tabs>
          <w:tab w:val="left" w:pos="0"/>
        </w:tabs>
        <w:spacing w:after="0"/>
        <w:ind w:left="426"/>
        <w:jc w:val="both"/>
        <w:rPr>
          <w:rFonts w:ascii="Arial" w:eastAsia="Times New Roman" w:hAnsi="Arial" w:cs="Arial"/>
          <w:b/>
          <w:u w:val="single"/>
          <w:lang w:eastAsia="es-ES"/>
        </w:rPr>
      </w:pPr>
    </w:p>
    <w:p w:rsidR="007C1C68" w:rsidRPr="00197AD8" w:rsidRDefault="007C1C68" w:rsidP="007C1C68">
      <w:pPr>
        <w:widowControl w:val="0"/>
        <w:tabs>
          <w:tab w:val="left" w:pos="0"/>
        </w:tabs>
        <w:spacing w:after="0"/>
        <w:ind w:left="426"/>
        <w:jc w:val="both"/>
        <w:rPr>
          <w:rFonts w:ascii="Arial" w:eastAsia="Times New Roman" w:hAnsi="Arial" w:cs="Arial"/>
          <w:b/>
          <w:u w:val="single"/>
          <w:lang w:eastAsia="es-ES"/>
        </w:rPr>
      </w:pPr>
      <w:r w:rsidRPr="00197AD8">
        <w:rPr>
          <w:rFonts w:ascii="Arial" w:eastAsia="Times New Roman" w:hAnsi="Arial" w:cs="Arial"/>
          <w:b/>
          <w:u w:val="single"/>
          <w:lang w:eastAsia="es-ES"/>
        </w:rPr>
        <w:t>Ahora bien, ¿qué sucede en los contratos que no se encuentran incluidos en esta lista señalada expresamente por el Legislador?</w:t>
      </w:r>
    </w:p>
    <w:p w:rsidR="007C1C68" w:rsidRPr="00197AD8" w:rsidRDefault="007C1C68" w:rsidP="007C1C68">
      <w:pPr>
        <w:widowControl w:val="0"/>
        <w:tabs>
          <w:tab w:val="left" w:pos="0"/>
        </w:tabs>
        <w:spacing w:after="0"/>
        <w:ind w:left="426"/>
        <w:jc w:val="both"/>
        <w:rPr>
          <w:rFonts w:ascii="Arial" w:eastAsia="Times New Roman" w:hAnsi="Arial" w:cs="Arial"/>
          <w:b/>
          <w:u w:val="single"/>
          <w:lang w:eastAsia="es-ES"/>
        </w:rPr>
      </w:pPr>
    </w:p>
    <w:p w:rsidR="007C1C68" w:rsidRPr="007C1C68" w:rsidRDefault="007C1C68" w:rsidP="007C1C68">
      <w:pPr>
        <w:spacing w:after="360"/>
        <w:jc w:val="both"/>
        <w:rPr>
          <w:rFonts w:ascii="Arial" w:eastAsia="Times New Roman" w:hAnsi="Arial" w:cs="Arial"/>
          <w:lang w:eastAsia="es-ES"/>
        </w:rPr>
      </w:pPr>
      <w:r w:rsidRPr="007C1C68">
        <w:rPr>
          <w:rFonts w:ascii="Arial" w:eastAsia="Times New Roman" w:hAnsi="Arial" w:cs="Arial"/>
          <w:lang w:eastAsia="es-ES"/>
        </w:rPr>
        <w:t>Para el Consejo de Estado</w:t>
      </w:r>
      <w:r w:rsidRPr="00197AD8">
        <w:rPr>
          <w:rFonts w:ascii="Arial" w:eastAsia="Times New Roman" w:hAnsi="Arial" w:cs="Arial"/>
          <w:vertAlign w:val="superscript"/>
          <w:lang w:eastAsia="es-ES"/>
        </w:rPr>
        <w:footnoteReference w:id="4"/>
      </w:r>
      <w:r w:rsidRPr="007C1C68">
        <w:rPr>
          <w:rFonts w:ascii="Arial" w:eastAsia="Times New Roman" w:hAnsi="Arial" w:cs="Arial"/>
          <w:lang w:eastAsia="es-ES"/>
        </w:rPr>
        <w:t xml:space="preserve">, se configura un cuarto grupo compuesto por </w:t>
      </w:r>
    </w:p>
    <w:p w:rsidR="007C1C68" w:rsidRPr="007C1C68" w:rsidRDefault="007C1C68" w:rsidP="007C1C68">
      <w:pPr>
        <w:spacing w:after="360"/>
        <w:ind w:left="1134" w:right="900"/>
        <w:jc w:val="both"/>
        <w:rPr>
          <w:rFonts w:ascii="Arial" w:eastAsia="Times New Roman" w:hAnsi="Arial" w:cs="Arial"/>
          <w:i/>
          <w:lang w:eastAsia="es-ES"/>
        </w:rPr>
      </w:pPr>
      <w:r w:rsidRPr="007C1C68">
        <w:rPr>
          <w:rFonts w:ascii="Arial" w:eastAsia="Times New Roman" w:hAnsi="Arial" w:cs="Arial"/>
          <w:lang w:eastAsia="es-ES"/>
        </w:rPr>
        <w:t>“</w:t>
      </w:r>
      <w:r w:rsidRPr="007C1C68">
        <w:rPr>
          <w:rFonts w:ascii="Arial" w:eastAsia="Times New Roman" w:hAnsi="Arial" w:cs="Arial"/>
          <w:i/>
          <w:lang w:eastAsia="es-ES"/>
        </w:rPr>
        <w:t>todos aquellos negocios jurídicos que no pertenecen a ninguno de los grupos anteriores. Tal es el caso del contrato de consultoría, de comodato, de leasing, etc., los cuales no están incluidos en ninguno de los tres grupos a que alude expresamente la ley, de manera que, frente a ellos es menester precisar el régimen a que deben sujetarse desde el punto de vista de las clausulas excepcionales”</w:t>
      </w:r>
    </w:p>
    <w:p w:rsidR="00197AD8" w:rsidRDefault="007C1C68" w:rsidP="007C1C68">
      <w:pPr>
        <w:spacing w:after="360"/>
        <w:ind w:right="49"/>
        <w:jc w:val="both"/>
        <w:rPr>
          <w:rFonts w:ascii="Arial" w:eastAsia="Times New Roman" w:hAnsi="Arial" w:cs="Arial"/>
          <w:i/>
          <w:lang w:eastAsia="es-ES"/>
        </w:rPr>
      </w:pPr>
      <w:r w:rsidRPr="007C1C68">
        <w:rPr>
          <w:rFonts w:ascii="Arial" w:eastAsia="Times New Roman" w:hAnsi="Arial" w:cs="Arial"/>
          <w:i/>
          <w:lang w:eastAsia="es-ES"/>
        </w:rPr>
        <w:t>Y concluye:</w:t>
      </w:r>
    </w:p>
    <w:p w:rsidR="007C1C68" w:rsidRDefault="007C1C68" w:rsidP="007C1C68">
      <w:pPr>
        <w:spacing w:after="360"/>
        <w:ind w:right="49"/>
        <w:jc w:val="both"/>
        <w:rPr>
          <w:rFonts w:ascii="Arial" w:eastAsia="Times New Roman" w:hAnsi="Arial" w:cs="Arial"/>
          <w:i/>
          <w:lang w:eastAsia="es-ES"/>
        </w:rPr>
      </w:pPr>
      <w:r w:rsidRPr="007C1C68">
        <w:rPr>
          <w:rFonts w:ascii="Arial" w:eastAsia="Times New Roman" w:hAnsi="Arial" w:cs="Arial"/>
          <w:i/>
          <w:lang w:eastAsia="es-ES"/>
        </w:rPr>
        <w:t xml:space="preserve"> </w:t>
      </w:r>
    </w:p>
    <w:p w:rsidR="00F91FEC" w:rsidRDefault="00F91FEC" w:rsidP="007C1C68">
      <w:pPr>
        <w:spacing w:after="360"/>
        <w:ind w:right="49"/>
        <w:jc w:val="both"/>
        <w:rPr>
          <w:rFonts w:ascii="Arial" w:eastAsia="Times New Roman" w:hAnsi="Arial" w:cs="Arial"/>
          <w:i/>
          <w:lang w:eastAsia="es-ES"/>
        </w:rPr>
      </w:pPr>
    </w:p>
    <w:p w:rsidR="007C1C68" w:rsidRPr="007C1C68" w:rsidRDefault="007C1C68" w:rsidP="007C1C68">
      <w:pPr>
        <w:spacing w:after="360"/>
        <w:ind w:left="1134" w:right="900"/>
        <w:jc w:val="both"/>
        <w:rPr>
          <w:rFonts w:ascii="Arial" w:eastAsia="Times New Roman" w:hAnsi="Arial" w:cs="Arial"/>
          <w:i/>
          <w:lang w:eastAsia="es-ES"/>
        </w:rPr>
      </w:pPr>
      <w:r w:rsidRPr="007C1C68">
        <w:rPr>
          <w:rFonts w:ascii="Arial" w:eastAsia="Times New Roman" w:hAnsi="Arial" w:cs="Arial"/>
          <w:i/>
          <w:lang w:eastAsia="es-ES"/>
        </w:rPr>
        <w:t xml:space="preserve">(…) “este tipo de poderes requiere, cuando menos, autorización legal para su inclusión y posterior utilización, debido a la naturaleza que tienen estas prerrogativas – por su carácter extraordinario e inusual, en relación con el derecho común- y, de otro, porque el legislador es el único que puede disponer competencias para la expedición de actos administrativos en desarrollo de los contratos estatales, actos que, como es sabido, constituyen el mecanismo de ejercicio de las exorbitancias contractuales. </w:t>
      </w:r>
    </w:p>
    <w:p w:rsidR="007C1C68" w:rsidRPr="007C1C68" w:rsidRDefault="007C1C68" w:rsidP="007C1C68">
      <w:pPr>
        <w:spacing w:after="360"/>
        <w:ind w:left="1134" w:right="900"/>
        <w:jc w:val="both"/>
        <w:rPr>
          <w:rFonts w:ascii="Arial" w:eastAsia="Times New Roman" w:hAnsi="Arial" w:cs="Arial"/>
          <w:lang w:eastAsia="es-ES"/>
        </w:rPr>
      </w:pPr>
      <w:r w:rsidRPr="007C1C68">
        <w:rPr>
          <w:rFonts w:ascii="Arial" w:eastAsia="Times New Roman" w:hAnsi="Arial" w:cs="Arial"/>
          <w:i/>
          <w:u w:val="single"/>
          <w:lang w:eastAsia="es-ES"/>
        </w:rPr>
        <w:t>De este modo, en ejercicio de la autonomía privada no es posible constituir este tipo de poderes, en contratos en los que la ley no ha impartido autorización expresa, o excluirlos en los que el legislador los ha previsto como obligatorios</w:t>
      </w:r>
      <w:r w:rsidRPr="007C1C68">
        <w:rPr>
          <w:rFonts w:ascii="Arial" w:eastAsia="Times New Roman" w:hAnsi="Arial" w:cs="Arial"/>
          <w:i/>
          <w:lang w:eastAsia="es-ES"/>
        </w:rPr>
        <w:t xml:space="preserve">” </w:t>
      </w:r>
      <w:r w:rsidRPr="007C1C68">
        <w:rPr>
          <w:rFonts w:ascii="Arial" w:eastAsia="Times New Roman" w:hAnsi="Arial" w:cs="Arial"/>
          <w:lang w:eastAsia="es-ES"/>
        </w:rPr>
        <w:t>(subrayado fuera de texto)</w:t>
      </w:r>
    </w:p>
    <w:p w:rsidR="007C1C68" w:rsidRPr="00197AD8" w:rsidRDefault="007C1C68" w:rsidP="007C1C68">
      <w:pPr>
        <w:spacing w:after="360"/>
        <w:jc w:val="both"/>
        <w:rPr>
          <w:rFonts w:ascii="Arial" w:eastAsia="Times New Roman" w:hAnsi="Arial" w:cs="Arial"/>
          <w:lang w:eastAsia="es-ES"/>
        </w:rPr>
      </w:pPr>
      <w:r w:rsidRPr="00197AD8">
        <w:rPr>
          <w:rFonts w:ascii="Arial" w:eastAsia="Times New Roman" w:hAnsi="Arial" w:cs="Arial"/>
          <w:lang w:eastAsia="es-ES"/>
        </w:rPr>
        <w:t>Pero además de las anteriores consideraciones y destacando la importancia que tiene el contrato de aporte como un contrato atípico, que jurisprudencialmente se ha definido que estos se encuentran contemplados en el artículo 32 de la Ley 80 de 1993, estos a su vez se consideran excluidos de su aplicación las “potestades excepcionales</w:t>
      </w:r>
      <w:r w:rsidRPr="00197AD8">
        <w:rPr>
          <w:rFonts w:ascii="Arial" w:eastAsia="Times New Roman" w:hAnsi="Arial" w:cs="Arial"/>
          <w:vertAlign w:val="superscript"/>
          <w:lang w:eastAsia="es-ES"/>
        </w:rPr>
        <w:footnoteReference w:id="5"/>
      </w:r>
      <w:r w:rsidRPr="00197AD8">
        <w:rPr>
          <w:rFonts w:ascii="Arial" w:eastAsia="Times New Roman" w:hAnsi="Arial" w:cs="Arial"/>
          <w:lang w:eastAsia="es-ES"/>
        </w:rPr>
        <w:t>” toda vez que el artículo 14 de la Ley 80 de 1993 sólo permite que se incluyan de manera obligatoria o potestativa en algunos contratos enumerados taxativamente y dentro de los cuales no están los contratos atípicos</w:t>
      </w:r>
      <w:r w:rsidRPr="00197AD8">
        <w:rPr>
          <w:rFonts w:ascii="Arial" w:eastAsia="Times New Roman" w:hAnsi="Arial" w:cs="Arial"/>
          <w:vertAlign w:val="superscript"/>
          <w:lang w:eastAsia="es-ES"/>
        </w:rPr>
        <w:footnoteReference w:id="6"/>
      </w:r>
      <w:r w:rsidRPr="00197AD8">
        <w:rPr>
          <w:rFonts w:ascii="Arial" w:eastAsia="Times New Roman" w:hAnsi="Arial" w:cs="Arial"/>
          <w:lang w:eastAsia="es-ES"/>
        </w:rPr>
        <w:t>.</w:t>
      </w:r>
    </w:p>
    <w:p w:rsidR="007C1C68" w:rsidRPr="007C1C68" w:rsidRDefault="007C1C68" w:rsidP="007C1C68">
      <w:pPr>
        <w:spacing w:after="360"/>
        <w:jc w:val="both"/>
        <w:rPr>
          <w:rFonts w:ascii="Arial" w:eastAsia="Times New Roman" w:hAnsi="Arial" w:cs="Arial"/>
          <w:lang w:eastAsia="es-ES"/>
        </w:rPr>
      </w:pPr>
      <w:r w:rsidRPr="007C1C68">
        <w:rPr>
          <w:rFonts w:ascii="Arial" w:eastAsia="Times New Roman" w:hAnsi="Arial" w:cs="Arial"/>
          <w:lang w:eastAsia="es-ES"/>
        </w:rPr>
        <w:t>De los anteriores apartes jurisprudenciales se evidencia la problemática jurídica que se suscita entorno al Contrato de Aporte, predicándose que la aplicación de las clausulas exorbitantes dada por el ICBF en este tipo de contratación se encuentra viciada por una posible ilegitimidad, al tanto que su disposición no se encuentra autorizada por ninguna ley, en su sentido estricto.</w:t>
      </w:r>
    </w:p>
    <w:p w:rsidR="007C1C68" w:rsidRPr="00197AD8" w:rsidRDefault="007C1C68" w:rsidP="007C1C68">
      <w:pPr>
        <w:numPr>
          <w:ilvl w:val="1"/>
          <w:numId w:val="6"/>
        </w:numPr>
        <w:spacing w:after="360" w:line="240" w:lineRule="auto"/>
        <w:contextualSpacing/>
        <w:jc w:val="both"/>
        <w:rPr>
          <w:rFonts w:ascii="Arial" w:hAnsi="Arial" w:cs="Arial"/>
          <w:b/>
          <w:lang w:val="es-ES"/>
        </w:rPr>
      </w:pPr>
      <w:r w:rsidRPr="007C1C68">
        <w:rPr>
          <w:rFonts w:ascii="Arial" w:hAnsi="Arial" w:cs="Arial"/>
          <w:b/>
          <w:lang w:val="es-ES"/>
        </w:rPr>
        <w:t>Justificación del Proyecto:</w:t>
      </w:r>
    </w:p>
    <w:p w:rsidR="00197AD8" w:rsidRPr="007C1C68" w:rsidRDefault="00197AD8" w:rsidP="00197AD8">
      <w:pPr>
        <w:spacing w:after="360" w:line="240" w:lineRule="auto"/>
        <w:ind w:left="1080"/>
        <w:contextualSpacing/>
        <w:jc w:val="both"/>
        <w:rPr>
          <w:rFonts w:ascii="Arial" w:hAnsi="Arial" w:cs="Arial"/>
          <w:b/>
          <w:lang w:val="es-ES"/>
        </w:rPr>
      </w:pPr>
    </w:p>
    <w:p w:rsidR="00197AD8" w:rsidRDefault="007C1C68" w:rsidP="007C1C68">
      <w:pPr>
        <w:spacing w:after="360"/>
        <w:jc w:val="both"/>
        <w:rPr>
          <w:rFonts w:ascii="Arial" w:eastAsia="Times New Roman" w:hAnsi="Arial" w:cs="Arial"/>
          <w:color w:val="000000"/>
          <w:lang w:eastAsia="es-ES"/>
        </w:rPr>
      </w:pPr>
      <w:r w:rsidRPr="007C1C68">
        <w:rPr>
          <w:rFonts w:ascii="Arial" w:eastAsia="Times New Roman" w:hAnsi="Arial" w:cs="Arial"/>
          <w:lang w:eastAsia="es-ES"/>
        </w:rPr>
        <w:t xml:space="preserve">Además de ello, como se sostuvo en el acápite anterior, el régimen de contratación por aporte, exclusivo del ICBF, es de suma importancia para los fines estatales debido a que mediante esta contratación se promueve </w:t>
      </w:r>
      <w:r w:rsidRPr="007C1C68">
        <w:rPr>
          <w:rFonts w:ascii="Arial" w:eastAsia="Times New Roman" w:hAnsi="Arial" w:cs="Arial"/>
          <w:color w:val="000000"/>
          <w:lang w:eastAsia="es-ES"/>
        </w:rPr>
        <w:t>la integración y realización armónica de la familia;</w:t>
      </w:r>
      <w:r w:rsidRPr="007C1C68">
        <w:rPr>
          <w:rFonts w:ascii="Arial" w:eastAsia="Times New Roman" w:hAnsi="Arial" w:cs="Arial"/>
          <w:lang w:eastAsia="es-ES"/>
        </w:rPr>
        <w:t xml:space="preserve"> se protege</w:t>
      </w:r>
      <w:r w:rsidRPr="007C1C68">
        <w:rPr>
          <w:rFonts w:ascii="Arial" w:eastAsia="Times New Roman" w:hAnsi="Arial" w:cs="Arial"/>
          <w:color w:val="000000"/>
          <w:lang w:eastAsia="es-ES"/>
        </w:rPr>
        <w:t xml:space="preserve"> al menor y garantizar los derechos de la niñez</w:t>
      </w:r>
      <w:r w:rsidRPr="007C1C68">
        <w:rPr>
          <w:rFonts w:ascii="Arial" w:eastAsia="Times New Roman" w:hAnsi="Arial" w:cs="Arial"/>
          <w:lang w:eastAsia="es-ES"/>
        </w:rPr>
        <w:t>; y se busca v</w:t>
      </w:r>
      <w:r w:rsidRPr="007C1C68">
        <w:rPr>
          <w:rFonts w:ascii="Arial" w:eastAsia="Times New Roman" w:hAnsi="Arial" w:cs="Arial"/>
          <w:color w:val="000000"/>
          <w:lang w:eastAsia="es-ES"/>
        </w:rPr>
        <w:t xml:space="preserve">incular el mayor número de personas y coordinar las entidades estatales competentes en el manejo </w:t>
      </w:r>
    </w:p>
    <w:p w:rsidR="00197AD8" w:rsidRDefault="00197AD8" w:rsidP="007C1C68">
      <w:pPr>
        <w:spacing w:after="360"/>
        <w:jc w:val="both"/>
        <w:rPr>
          <w:rFonts w:ascii="Arial" w:eastAsia="Times New Roman" w:hAnsi="Arial" w:cs="Arial"/>
          <w:color w:val="000000"/>
          <w:lang w:eastAsia="es-ES"/>
        </w:rPr>
      </w:pPr>
    </w:p>
    <w:p w:rsidR="00F91FEC" w:rsidRDefault="00F91FEC" w:rsidP="007C1C68">
      <w:pPr>
        <w:spacing w:after="360"/>
        <w:jc w:val="both"/>
        <w:rPr>
          <w:rFonts w:ascii="Arial" w:eastAsia="Times New Roman" w:hAnsi="Arial" w:cs="Arial"/>
          <w:color w:val="000000"/>
          <w:lang w:eastAsia="es-ES"/>
        </w:rPr>
      </w:pPr>
    </w:p>
    <w:p w:rsidR="007C1C68" w:rsidRPr="007C1C68" w:rsidRDefault="007C1C68" w:rsidP="007C1C68">
      <w:pPr>
        <w:spacing w:after="360"/>
        <w:jc w:val="both"/>
        <w:rPr>
          <w:rFonts w:ascii="Arial" w:eastAsia="Times New Roman" w:hAnsi="Arial" w:cs="Arial"/>
          <w:color w:val="000000"/>
          <w:lang w:eastAsia="es-ES"/>
        </w:rPr>
      </w:pPr>
      <w:r w:rsidRPr="007C1C68">
        <w:rPr>
          <w:rFonts w:ascii="Arial" w:eastAsia="Times New Roman" w:hAnsi="Arial" w:cs="Arial"/>
          <w:color w:val="000000"/>
          <w:lang w:eastAsia="es-ES"/>
        </w:rPr>
        <w:t xml:space="preserve">de los problemas de la familia y del menor, al propósito de elevar el nivel de vida de nuestra sociedad. </w:t>
      </w:r>
    </w:p>
    <w:p w:rsidR="007C1C68" w:rsidRPr="007C1C68" w:rsidRDefault="007C1C68" w:rsidP="007C1C68">
      <w:pPr>
        <w:spacing w:after="360"/>
        <w:jc w:val="both"/>
        <w:rPr>
          <w:rFonts w:ascii="Arial" w:eastAsia="Times New Roman" w:hAnsi="Arial" w:cs="Arial"/>
          <w:color w:val="000000"/>
          <w:lang w:eastAsia="es-ES"/>
        </w:rPr>
      </w:pPr>
      <w:r w:rsidRPr="007C1C68">
        <w:rPr>
          <w:rFonts w:ascii="Arial" w:eastAsia="Times New Roman" w:hAnsi="Arial" w:cs="Arial"/>
          <w:color w:val="000000"/>
          <w:lang w:eastAsia="es-ES"/>
        </w:rPr>
        <w:t xml:space="preserve">De igual forma, con el Decreto 2150 de 1995, en su artículo 122, se estableció que este tipo de contratación se daría a través de la modalidad de contratación directa, generando también de un lado una gran preocupación por cuanto de alguna forma se cobija la corrupción que ha menoscabado la credibilidad de nuestras instituciones públicas. </w:t>
      </w:r>
    </w:p>
    <w:p w:rsidR="007C1C68" w:rsidRDefault="007C1C68" w:rsidP="00197AD8">
      <w:pPr>
        <w:widowControl w:val="0"/>
        <w:tabs>
          <w:tab w:val="left" w:pos="0"/>
        </w:tabs>
        <w:spacing w:after="0"/>
        <w:jc w:val="both"/>
        <w:rPr>
          <w:rFonts w:ascii="Arial" w:eastAsia="Times New Roman" w:hAnsi="Arial" w:cs="Arial"/>
          <w:color w:val="000000"/>
          <w:lang w:eastAsia="es-ES"/>
        </w:rPr>
      </w:pPr>
      <w:r w:rsidRPr="00197AD8">
        <w:rPr>
          <w:rFonts w:ascii="Arial" w:eastAsia="Times New Roman" w:hAnsi="Arial" w:cs="Arial"/>
          <w:color w:val="000000"/>
          <w:lang w:eastAsia="es-ES"/>
        </w:rPr>
        <w:t>Por tal motivo, considero necesario que el Congreso de la República, a través de este proyecto de ley, le otorgue el sustento legal para que el ICBF tenga la autorización expresa por parte del Legislador como lo expone el Consejo de Estado para que el contenido de sus contratos de aporte puedan aplicarse de forma obligatoria las clausulas exorbitantes como herramientas importantes para hacer cumplir el objeto del contrato.</w:t>
      </w:r>
    </w:p>
    <w:p w:rsidR="00692CF4" w:rsidRDefault="00692CF4" w:rsidP="00197AD8">
      <w:pPr>
        <w:widowControl w:val="0"/>
        <w:tabs>
          <w:tab w:val="left" w:pos="0"/>
        </w:tabs>
        <w:spacing w:after="0"/>
        <w:jc w:val="both"/>
        <w:rPr>
          <w:rFonts w:ascii="Arial" w:eastAsia="Times New Roman" w:hAnsi="Arial" w:cs="Arial"/>
          <w:color w:val="000000"/>
          <w:lang w:eastAsia="es-ES"/>
        </w:rPr>
      </w:pPr>
    </w:p>
    <w:p w:rsidR="00692CF4" w:rsidRPr="00692CF4" w:rsidRDefault="00692CF4" w:rsidP="00692CF4">
      <w:pPr>
        <w:widowControl w:val="0"/>
        <w:numPr>
          <w:ilvl w:val="0"/>
          <w:numId w:val="1"/>
        </w:numPr>
        <w:tabs>
          <w:tab w:val="left" w:pos="0"/>
        </w:tabs>
        <w:spacing w:after="0" w:line="240" w:lineRule="auto"/>
        <w:contextualSpacing/>
        <w:jc w:val="both"/>
        <w:rPr>
          <w:rFonts w:ascii="Arial" w:hAnsi="Arial" w:cs="Arial"/>
          <w:b/>
          <w:lang w:val="es-ES"/>
        </w:rPr>
      </w:pPr>
      <w:r w:rsidRPr="00692CF4">
        <w:rPr>
          <w:rFonts w:ascii="Arial" w:hAnsi="Arial" w:cs="Arial"/>
          <w:b/>
          <w:lang w:val="es-ES"/>
        </w:rPr>
        <w:t xml:space="preserve">PROPOSICIÓN </w:t>
      </w:r>
    </w:p>
    <w:p w:rsidR="00692CF4" w:rsidRPr="00197AD8" w:rsidRDefault="00692CF4" w:rsidP="00692CF4">
      <w:pPr>
        <w:spacing w:after="0"/>
        <w:jc w:val="both"/>
        <w:rPr>
          <w:rFonts w:ascii="Arial" w:eastAsia="Arial Unicode MS" w:hAnsi="Arial" w:cs="Arial"/>
          <w:lang w:eastAsia="es-ES"/>
        </w:rPr>
      </w:pPr>
    </w:p>
    <w:p w:rsidR="00692CF4" w:rsidRPr="007C1C68" w:rsidRDefault="00692CF4" w:rsidP="00692CF4">
      <w:pPr>
        <w:spacing w:after="0"/>
        <w:jc w:val="both"/>
        <w:rPr>
          <w:rFonts w:ascii="Arial" w:eastAsia="Times New Roman" w:hAnsi="Arial" w:cs="Arial"/>
          <w:i/>
          <w:lang w:eastAsia="es-ES"/>
        </w:rPr>
      </w:pPr>
      <w:r w:rsidRPr="007C1C68">
        <w:rPr>
          <w:rFonts w:ascii="Arial" w:eastAsia="Arial Unicode MS" w:hAnsi="Arial" w:cs="Arial"/>
          <w:lang w:eastAsia="es-ES"/>
        </w:rPr>
        <w:t xml:space="preserve">Por </w:t>
      </w:r>
      <w:r>
        <w:rPr>
          <w:rFonts w:ascii="Arial" w:eastAsia="Arial Unicode MS" w:hAnsi="Arial" w:cs="Arial"/>
          <w:lang w:eastAsia="es-ES"/>
        </w:rPr>
        <w:t xml:space="preserve">lo anteriormente expuesto </w:t>
      </w:r>
      <w:r w:rsidRPr="007C1C68">
        <w:rPr>
          <w:rFonts w:ascii="Arial" w:eastAsia="Arial Unicode MS" w:hAnsi="Arial" w:cs="Arial"/>
          <w:lang w:eastAsia="es-ES"/>
        </w:rPr>
        <w:t>solicito a la Comisión Primera Constitucional de la Honorable Cámara</w:t>
      </w:r>
      <w:r>
        <w:rPr>
          <w:rFonts w:ascii="Arial" w:eastAsia="Arial Unicode MS" w:hAnsi="Arial" w:cs="Arial"/>
          <w:lang w:eastAsia="es-ES"/>
        </w:rPr>
        <w:t xml:space="preserve"> de Representantes</w:t>
      </w:r>
      <w:r w:rsidRPr="007C1C68">
        <w:rPr>
          <w:rFonts w:ascii="Arial" w:eastAsia="Arial Unicode MS" w:hAnsi="Arial" w:cs="Arial"/>
          <w:lang w:eastAsia="es-ES"/>
        </w:rPr>
        <w:t xml:space="preserve"> </w:t>
      </w:r>
      <w:r>
        <w:rPr>
          <w:rFonts w:ascii="Arial" w:eastAsia="Arial Unicode MS" w:hAnsi="Arial" w:cs="Arial"/>
          <w:b/>
          <w:u w:val="single"/>
          <w:lang w:eastAsia="es-ES"/>
        </w:rPr>
        <w:t>DESE</w:t>
      </w:r>
      <w:r w:rsidRPr="007C1C68">
        <w:rPr>
          <w:rFonts w:ascii="Arial" w:eastAsia="Arial Unicode MS" w:hAnsi="Arial" w:cs="Arial"/>
          <w:b/>
          <w:u w:val="single"/>
          <w:lang w:eastAsia="es-ES"/>
        </w:rPr>
        <w:t xml:space="preserve"> PRIMER DEBATE</w:t>
      </w:r>
      <w:r w:rsidRPr="007C1C68">
        <w:rPr>
          <w:rFonts w:ascii="Arial" w:eastAsia="Arial Unicode MS" w:hAnsi="Arial" w:cs="Arial"/>
          <w:lang w:eastAsia="es-ES"/>
        </w:rPr>
        <w:t xml:space="preserve">, al </w:t>
      </w:r>
      <w:r w:rsidRPr="00755383">
        <w:rPr>
          <w:rFonts w:ascii="Arial" w:eastAsia="Times New Roman" w:hAnsi="Arial" w:cs="Arial"/>
          <w:b/>
          <w:lang w:eastAsia="es-ES"/>
        </w:rPr>
        <w:t>Proyecto de Ley No. 059 de 2014 Cámara</w:t>
      </w:r>
      <w:r w:rsidRPr="007C1C68">
        <w:rPr>
          <w:rFonts w:ascii="Arial" w:eastAsia="Times New Roman" w:hAnsi="Arial" w:cs="Arial"/>
          <w:lang w:eastAsia="es-ES"/>
        </w:rPr>
        <w:t xml:space="preserve"> </w:t>
      </w:r>
      <w:r w:rsidRPr="007C1C68">
        <w:rPr>
          <w:rFonts w:ascii="Arial" w:eastAsia="Times New Roman" w:hAnsi="Arial" w:cs="Arial"/>
          <w:b/>
          <w:lang w:eastAsia="es-ES"/>
        </w:rPr>
        <w:t xml:space="preserve"> </w:t>
      </w:r>
      <w:r w:rsidRPr="007C1C68">
        <w:rPr>
          <w:rFonts w:ascii="Arial" w:eastAsia="Times New Roman" w:hAnsi="Arial" w:cs="Arial"/>
          <w:b/>
          <w:i/>
          <w:lang w:eastAsia="es-ES"/>
        </w:rPr>
        <w:t>“Por medio de la cual se modifica el artículo 14 de la Ley 80 de 1993, se establecen las clausulas exorbitantes en los contratos de aportes, y se dictan otras disposiciones</w:t>
      </w:r>
      <w:r w:rsidRPr="007C1C68">
        <w:rPr>
          <w:rFonts w:ascii="Arial" w:eastAsia="Times New Roman" w:hAnsi="Arial" w:cs="Arial"/>
          <w:b/>
          <w:lang w:eastAsia="es-ES"/>
        </w:rPr>
        <w:t>”</w:t>
      </w:r>
      <w:r w:rsidRPr="007C1C68">
        <w:rPr>
          <w:rFonts w:ascii="Arial" w:eastAsia="Times New Roman" w:hAnsi="Arial" w:cs="Arial"/>
          <w:i/>
          <w:lang w:eastAsia="es-ES"/>
        </w:rPr>
        <w:t xml:space="preserve">, </w:t>
      </w:r>
      <w:r w:rsidRPr="00755383">
        <w:rPr>
          <w:rFonts w:ascii="Arial" w:eastAsia="Arial Unicode MS" w:hAnsi="Arial" w:cs="Arial"/>
          <w:lang w:eastAsia="es-ES"/>
        </w:rPr>
        <w:t>conforme al texto propuesto.</w:t>
      </w:r>
    </w:p>
    <w:p w:rsidR="00692CF4" w:rsidRPr="007C1C68" w:rsidRDefault="00692CF4" w:rsidP="00692CF4">
      <w:pPr>
        <w:adjustRightInd w:val="0"/>
        <w:spacing w:after="0"/>
        <w:jc w:val="both"/>
        <w:rPr>
          <w:rFonts w:ascii="Arial" w:eastAsia="Arial Unicode MS" w:hAnsi="Arial" w:cs="Arial"/>
          <w:lang w:eastAsia="es-ES"/>
        </w:rPr>
      </w:pPr>
    </w:p>
    <w:p w:rsidR="00692CF4" w:rsidRPr="000A690A" w:rsidRDefault="000A690A" w:rsidP="00692CF4">
      <w:pPr>
        <w:widowControl w:val="0"/>
        <w:tabs>
          <w:tab w:val="left" w:pos="0"/>
        </w:tabs>
        <w:spacing w:after="0"/>
        <w:jc w:val="both"/>
        <w:rPr>
          <w:rFonts w:ascii="Arial" w:eastAsia="Times New Roman" w:hAnsi="Arial" w:cs="Arial"/>
          <w:noProof/>
          <w:lang w:eastAsia="es-CO"/>
        </w:rPr>
      </w:pPr>
      <w:r w:rsidRPr="000A690A">
        <w:rPr>
          <w:rFonts w:ascii="Arial" w:eastAsia="Times New Roman" w:hAnsi="Arial" w:cs="Arial"/>
          <w:noProof/>
          <w:lang w:eastAsia="es-CO"/>
        </w:rPr>
        <w:t>Del Señor Presidente,</w:t>
      </w:r>
    </w:p>
    <w:p w:rsidR="00F91FEC" w:rsidRDefault="00F91FEC" w:rsidP="00692CF4">
      <w:pPr>
        <w:widowControl w:val="0"/>
        <w:tabs>
          <w:tab w:val="left" w:pos="0"/>
        </w:tabs>
        <w:spacing w:after="0"/>
        <w:jc w:val="both"/>
        <w:rPr>
          <w:rFonts w:ascii="Arial" w:eastAsia="Times New Roman" w:hAnsi="Arial" w:cs="Arial"/>
          <w:b/>
          <w:noProof/>
          <w:lang w:eastAsia="es-CO"/>
        </w:rPr>
      </w:pPr>
    </w:p>
    <w:p w:rsidR="000A690A" w:rsidRDefault="000A690A" w:rsidP="00692CF4">
      <w:pPr>
        <w:widowControl w:val="0"/>
        <w:tabs>
          <w:tab w:val="left" w:pos="0"/>
        </w:tabs>
        <w:spacing w:after="0"/>
        <w:jc w:val="both"/>
        <w:rPr>
          <w:rFonts w:ascii="Arial" w:eastAsia="Times New Roman" w:hAnsi="Arial" w:cs="Arial"/>
          <w:b/>
          <w:noProof/>
          <w:lang w:eastAsia="es-CO"/>
        </w:rPr>
      </w:pPr>
    </w:p>
    <w:p w:rsidR="00AA33CC" w:rsidRDefault="00AA33CC" w:rsidP="00692CF4">
      <w:pPr>
        <w:widowControl w:val="0"/>
        <w:tabs>
          <w:tab w:val="left" w:pos="0"/>
        </w:tabs>
        <w:spacing w:after="0"/>
        <w:jc w:val="both"/>
        <w:rPr>
          <w:rFonts w:ascii="Arial" w:eastAsia="Times New Roman" w:hAnsi="Arial" w:cs="Arial"/>
          <w:b/>
          <w:noProof/>
          <w:lang w:eastAsia="es-CO"/>
        </w:rPr>
      </w:pPr>
    </w:p>
    <w:p w:rsidR="00692CF4" w:rsidRDefault="00692CF4" w:rsidP="00692CF4">
      <w:pPr>
        <w:widowControl w:val="0"/>
        <w:tabs>
          <w:tab w:val="left" w:pos="0"/>
        </w:tabs>
        <w:spacing w:after="0"/>
        <w:jc w:val="both"/>
        <w:rPr>
          <w:rFonts w:ascii="Arial" w:eastAsia="Times New Roman" w:hAnsi="Arial" w:cs="Arial"/>
          <w:b/>
          <w:noProof/>
          <w:lang w:eastAsia="es-CO"/>
        </w:rPr>
      </w:pPr>
    </w:p>
    <w:p w:rsidR="00692CF4" w:rsidRPr="007C1C68" w:rsidRDefault="00692CF4" w:rsidP="00692CF4">
      <w:pPr>
        <w:widowControl w:val="0"/>
        <w:tabs>
          <w:tab w:val="left" w:pos="0"/>
        </w:tabs>
        <w:spacing w:after="0"/>
        <w:jc w:val="both"/>
        <w:rPr>
          <w:rFonts w:ascii="Arial" w:eastAsia="Times New Roman" w:hAnsi="Arial" w:cs="Arial"/>
          <w:b/>
          <w:noProof/>
          <w:lang w:eastAsia="es-CO"/>
        </w:rPr>
      </w:pPr>
      <w:r w:rsidRPr="007C1C68">
        <w:rPr>
          <w:rFonts w:ascii="Arial" w:eastAsia="Times New Roman" w:hAnsi="Arial" w:cs="Arial"/>
          <w:b/>
          <w:noProof/>
          <w:lang w:eastAsia="es-CO"/>
        </w:rPr>
        <w:drawing>
          <wp:anchor distT="0" distB="0" distL="114300" distR="114300" simplePos="0" relativeHeight="251661312" behindDoc="1" locked="0" layoutInCell="1" allowOverlap="1" wp14:anchorId="1F1923FE" wp14:editId="22868DB5">
            <wp:simplePos x="0" y="0"/>
            <wp:positionH relativeFrom="column">
              <wp:posOffset>816610</wp:posOffset>
            </wp:positionH>
            <wp:positionV relativeFrom="paragraph">
              <wp:posOffset>7438390</wp:posOffset>
            </wp:positionV>
            <wp:extent cx="2411730" cy="1330325"/>
            <wp:effectExtent l="0" t="0" r="7620"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730"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C68">
        <w:rPr>
          <w:rFonts w:ascii="Arial" w:eastAsia="Times New Roman" w:hAnsi="Arial" w:cs="Arial"/>
          <w:b/>
          <w:noProof/>
          <w:lang w:eastAsia="es-CO"/>
        </w:rPr>
        <w:drawing>
          <wp:anchor distT="0" distB="0" distL="114300" distR="114300" simplePos="0" relativeHeight="251660288" behindDoc="1" locked="0" layoutInCell="1" allowOverlap="1" wp14:anchorId="1EF728B4" wp14:editId="0AE153F7">
            <wp:simplePos x="0" y="0"/>
            <wp:positionH relativeFrom="column">
              <wp:posOffset>816610</wp:posOffset>
            </wp:positionH>
            <wp:positionV relativeFrom="paragraph">
              <wp:posOffset>7438390</wp:posOffset>
            </wp:positionV>
            <wp:extent cx="2411730" cy="1330325"/>
            <wp:effectExtent l="0" t="0" r="7620"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730"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C68">
        <w:rPr>
          <w:rFonts w:ascii="Arial" w:eastAsia="Times New Roman" w:hAnsi="Arial" w:cs="Arial"/>
          <w:b/>
          <w:noProof/>
          <w:lang w:eastAsia="es-CO"/>
        </w:rPr>
        <w:drawing>
          <wp:anchor distT="0" distB="0" distL="114300" distR="114300" simplePos="0" relativeHeight="251659264" behindDoc="1" locked="0" layoutInCell="1" allowOverlap="1" wp14:anchorId="015EE4A7" wp14:editId="30769DCE">
            <wp:simplePos x="0" y="0"/>
            <wp:positionH relativeFrom="column">
              <wp:posOffset>816610</wp:posOffset>
            </wp:positionH>
            <wp:positionV relativeFrom="paragraph">
              <wp:posOffset>7438390</wp:posOffset>
            </wp:positionV>
            <wp:extent cx="2411730" cy="1330325"/>
            <wp:effectExtent l="0" t="0" r="762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730"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C68">
        <w:rPr>
          <w:rFonts w:ascii="Arial" w:eastAsia="Times New Roman" w:hAnsi="Arial" w:cs="Arial"/>
          <w:b/>
          <w:noProof/>
          <w:lang w:eastAsia="es-CO"/>
        </w:rPr>
        <w:drawing>
          <wp:anchor distT="0" distB="0" distL="114300" distR="114300" simplePos="0" relativeHeight="251662336" behindDoc="1" locked="0" layoutInCell="1" allowOverlap="1" wp14:anchorId="5190B816" wp14:editId="37F2F793">
            <wp:simplePos x="0" y="0"/>
            <wp:positionH relativeFrom="column">
              <wp:posOffset>816610</wp:posOffset>
            </wp:positionH>
            <wp:positionV relativeFrom="paragraph">
              <wp:posOffset>7438390</wp:posOffset>
            </wp:positionV>
            <wp:extent cx="2411730" cy="1330325"/>
            <wp:effectExtent l="0" t="0" r="7620" b="317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730"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C68">
        <w:rPr>
          <w:rFonts w:ascii="Arial" w:eastAsia="Times New Roman" w:hAnsi="Arial" w:cs="Arial"/>
          <w:b/>
          <w:noProof/>
          <w:lang w:eastAsia="es-CO"/>
        </w:rPr>
        <w:t>HERIBERTO SANABRIA</w:t>
      </w:r>
      <w:r>
        <w:rPr>
          <w:rFonts w:ascii="Arial" w:eastAsia="Times New Roman" w:hAnsi="Arial" w:cs="Arial"/>
          <w:b/>
          <w:noProof/>
          <w:lang w:eastAsia="es-CO"/>
        </w:rPr>
        <w:t xml:space="preserve"> ASTUDILLO</w:t>
      </w:r>
    </w:p>
    <w:p w:rsidR="00692CF4" w:rsidRDefault="00692CF4" w:rsidP="00692CF4">
      <w:pPr>
        <w:widowControl w:val="0"/>
        <w:tabs>
          <w:tab w:val="left" w:pos="0"/>
        </w:tabs>
        <w:spacing w:after="0"/>
        <w:jc w:val="both"/>
        <w:rPr>
          <w:rFonts w:ascii="Arial" w:eastAsia="Times New Roman" w:hAnsi="Arial" w:cs="Arial"/>
          <w:b/>
          <w:noProof/>
          <w:lang w:eastAsia="es-CO"/>
        </w:rPr>
      </w:pPr>
      <w:r w:rsidRPr="007C1C68">
        <w:rPr>
          <w:rFonts w:ascii="Arial" w:eastAsia="Times New Roman" w:hAnsi="Arial" w:cs="Arial"/>
          <w:b/>
          <w:noProof/>
          <w:lang w:eastAsia="es-CO"/>
        </w:rPr>
        <w:t>Representante a la Camara</w:t>
      </w:r>
    </w:p>
    <w:p w:rsidR="00692CF4" w:rsidRPr="007C1C68" w:rsidRDefault="00692CF4" w:rsidP="00692CF4">
      <w:pPr>
        <w:widowControl w:val="0"/>
        <w:tabs>
          <w:tab w:val="left" w:pos="0"/>
        </w:tabs>
        <w:spacing w:after="0"/>
        <w:jc w:val="both"/>
        <w:rPr>
          <w:rFonts w:ascii="Arial" w:eastAsia="Times New Roman" w:hAnsi="Arial" w:cs="Arial"/>
          <w:lang w:eastAsia="es-ES"/>
        </w:rPr>
      </w:pPr>
      <w:r>
        <w:rPr>
          <w:rFonts w:ascii="Arial" w:eastAsia="Times New Roman" w:hAnsi="Arial" w:cs="Arial"/>
          <w:b/>
          <w:noProof/>
          <w:lang w:eastAsia="es-CO"/>
        </w:rPr>
        <w:t>Ponente</w:t>
      </w:r>
    </w:p>
    <w:p w:rsidR="00692CF4" w:rsidRPr="00197AD8" w:rsidRDefault="00692CF4" w:rsidP="00197AD8">
      <w:pPr>
        <w:widowControl w:val="0"/>
        <w:tabs>
          <w:tab w:val="left" w:pos="0"/>
        </w:tabs>
        <w:spacing w:after="0"/>
        <w:jc w:val="both"/>
        <w:rPr>
          <w:rFonts w:ascii="Arial" w:eastAsia="Times New Roman" w:hAnsi="Arial" w:cs="Arial"/>
          <w:color w:val="000000"/>
          <w:lang w:eastAsia="es-ES"/>
        </w:rPr>
      </w:pPr>
    </w:p>
    <w:p w:rsidR="007C1C68" w:rsidRPr="00197AD8" w:rsidRDefault="007C1C68" w:rsidP="007C1C68">
      <w:pPr>
        <w:widowControl w:val="0"/>
        <w:tabs>
          <w:tab w:val="left" w:pos="0"/>
        </w:tabs>
        <w:spacing w:after="0"/>
        <w:ind w:left="426"/>
        <w:jc w:val="both"/>
        <w:rPr>
          <w:rFonts w:ascii="Arial" w:eastAsia="Times New Roman" w:hAnsi="Arial" w:cs="Arial"/>
          <w:color w:val="000000"/>
          <w:lang w:eastAsia="es-ES"/>
        </w:rPr>
      </w:pPr>
    </w:p>
    <w:p w:rsidR="007C1C68" w:rsidRDefault="007C1C68" w:rsidP="003F0929">
      <w:pPr>
        <w:widowControl w:val="0"/>
        <w:tabs>
          <w:tab w:val="left" w:pos="0"/>
        </w:tabs>
        <w:spacing w:after="0"/>
        <w:jc w:val="both"/>
        <w:rPr>
          <w:rFonts w:ascii="Arial" w:eastAsia="Times New Roman" w:hAnsi="Arial" w:cs="Arial"/>
          <w:lang w:eastAsia="es-ES"/>
        </w:rPr>
      </w:pPr>
    </w:p>
    <w:p w:rsidR="00692CF4" w:rsidRDefault="00692CF4" w:rsidP="003F0929">
      <w:pPr>
        <w:widowControl w:val="0"/>
        <w:tabs>
          <w:tab w:val="left" w:pos="0"/>
        </w:tabs>
        <w:spacing w:after="0"/>
        <w:jc w:val="both"/>
        <w:rPr>
          <w:rFonts w:ascii="Arial" w:eastAsia="Times New Roman" w:hAnsi="Arial" w:cs="Arial"/>
          <w:lang w:eastAsia="es-ES"/>
        </w:rPr>
      </w:pPr>
    </w:p>
    <w:p w:rsidR="00692CF4" w:rsidRDefault="00692CF4" w:rsidP="003F0929">
      <w:pPr>
        <w:widowControl w:val="0"/>
        <w:tabs>
          <w:tab w:val="left" w:pos="0"/>
        </w:tabs>
        <w:spacing w:after="0"/>
        <w:jc w:val="both"/>
        <w:rPr>
          <w:rFonts w:ascii="Arial" w:eastAsia="Times New Roman" w:hAnsi="Arial" w:cs="Arial"/>
          <w:lang w:eastAsia="es-ES"/>
        </w:rPr>
      </w:pPr>
    </w:p>
    <w:p w:rsidR="00692CF4" w:rsidRDefault="00692CF4" w:rsidP="003F0929">
      <w:pPr>
        <w:widowControl w:val="0"/>
        <w:tabs>
          <w:tab w:val="left" w:pos="0"/>
        </w:tabs>
        <w:spacing w:after="0"/>
        <w:jc w:val="both"/>
        <w:rPr>
          <w:rFonts w:ascii="Arial" w:eastAsia="Times New Roman" w:hAnsi="Arial" w:cs="Arial"/>
          <w:lang w:eastAsia="es-ES"/>
        </w:rPr>
      </w:pPr>
    </w:p>
    <w:p w:rsidR="00692CF4" w:rsidRDefault="00692CF4" w:rsidP="003F0929">
      <w:pPr>
        <w:widowControl w:val="0"/>
        <w:tabs>
          <w:tab w:val="left" w:pos="0"/>
        </w:tabs>
        <w:spacing w:after="0"/>
        <w:jc w:val="both"/>
        <w:rPr>
          <w:rFonts w:ascii="Arial" w:eastAsia="Times New Roman" w:hAnsi="Arial" w:cs="Arial"/>
          <w:lang w:eastAsia="es-ES"/>
        </w:rPr>
      </w:pPr>
    </w:p>
    <w:p w:rsidR="00692CF4" w:rsidRDefault="00692CF4" w:rsidP="003F0929">
      <w:pPr>
        <w:widowControl w:val="0"/>
        <w:tabs>
          <w:tab w:val="left" w:pos="0"/>
        </w:tabs>
        <w:spacing w:after="0"/>
        <w:jc w:val="both"/>
        <w:rPr>
          <w:rFonts w:ascii="Arial" w:eastAsia="Times New Roman" w:hAnsi="Arial" w:cs="Arial"/>
          <w:lang w:eastAsia="es-ES"/>
        </w:rPr>
      </w:pPr>
    </w:p>
    <w:p w:rsidR="00692CF4" w:rsidRDefault="00692CF4" w:rsidP="003F0929">
      <w:pPr>
        <w:widowControl w:val="0"/>
        <w:tabs>
          <w:tab w:val="left" w:pos="0"/>
        </w:tabs>
        <w:spacing w:after="0"/>
        <w:jc w:val="both"/>
        <w:rPr>
          <w:rFonts w:ascii="Arial" w:eastAsia="Times New Roman" w:hAnsi="Arial" w:cs="Arial"/>
          <w:lang w:eastAsia="es-ES"/>
        </w:rPr>
      </w:pPr>
    </w:p>
    <w:p w:rsidR="00692CF4" w:rsidRDefault="00692CF4" w:rsidP="003F0929">
      <w:pPr>
        <w:widowControl w:val="0"/>
        <w:tabs>
          <w:tab w:val="left" w:pos="0"/>
        </w:tabs>
        <w:spacing w:after="0"/>
        <w:jc w:val="both"/>
        <w:rPr>
          <w:rFonts w:ascii="Arial" w:eastAsia="Times New Roman" w:hAnsi="Arial" w:cs="Arial"/>
          <w:lang w:eastAsia="es-ES"/>
        </w:rPr>
      </w:pPr>
    </w:p>
    <w:p w:rsidR="00692CF4" w:rsidRDefault="00692CF4" w:rsidP="003F0929">
      <w:pPr>
        <w:widowControl w:val="0"/>
        <w:tabs>
          <w:tab w:val="left" w:pos="0"/>
        </w:tabs>
        <w:spacing w:after="0"/>
        <w:jc w:val="both"/>
        <w:rPr>
          <w:rFonts w:ascii="Arial" w:eastAsia="Times New Roman" w:hAnsi="Arial" w:cs="Arial"/>
          <w:lang w:eastAsia="es-ES"/>
        </w:rPr>
      </w:pPr>
    </w:p>
    <w:p w:rsidR="00692CF4" w:rsidRDefault="00692CF4" w:rsidP="003F0929">
      <w:pPr>
        <w:widowControl w:val="0"/>
        <w:tabs>
          <w:tab w:val="left" w:pos="0"/>
        </w:tabs>
        <w:spacing w:after="0"/>
        <w:jc w:val="both"/>
        <w:rPr>
          <w:rFonts w:ascii="Arial" w:eastAsia="Times New Roman" w:hAnsi="Arial" w:cs="Arial"/>
          <w:lang w:eastAsia="es-ES"/>
        </w:rPr>
      </w:pPr>
    </w:p>
    <w:p w:rsidR="00692CF4" w:rsidRDefault="00692CF4" w:rsidP="003F0929">
      <w:pPr>
        <w:widowControl w:val="0"/>
        <w:tabs>
          <w:tab w:val="left" w:pos="0"/>
        </w:tabs>
        <w:spacing w:after="0"/>
        <w:jc w:val="both"/>
        <w:rPr>
          <w:rFonts w:ascii="Arial" w:eastAsia="Times New Roman" w:hAnsi="Arial" w:cs="Arial"/>
          <w:lang w:eastAsia="es-ES"/>
        </w:rPr>
      </w:pPr>
    </w:p>
    <w:p w:rsidR="00692CF4" w:rsidRPr="007C1C68" w:rsidRDefault="00692CF4" w:rsidP="003F0929">
      <w:pPr>
        <w:widowControl w:val="0"/>
        <w:tabs>
          <w:tab w:val="left" w:pos="0"/>
        </w:tabs>
        <w:spacing w:after="0"/>
        <w:jc w:val="both"/>
        <w:rPr>
          <w:rFonts w:ascii="Arial" w:eastAsia="Times New Roman" w:hAnsi="Arial" w:cs="Arial"/>
          <w:lang w:eastAsia="es-ES"/>
        </w:rPr>
      </w:pPr>
    </w:p>
    <w:p w:rsidR="00692CF4" w:rsidRDefault="00692CF4" w:rsidP="005C0232">
      <w:pPr>
        <w:jc w:val="center"/>
        <w:rPr>
          <w:rFonts w:ascii="Arial" w:eastAsia="Times New Roman" w:hAnsi="Arial" w:cs="Arial"/>
          <w:b/>
          <w:lang w:eastAsia="es-ES"/>
        </w:rPr>
      </w:pPr>
    </w:p>
    <w:p w:rsidR="00D044E8" w:rsidRPr="00D044E8" w:rsidRDefault="005C0232" w:rsidP="005C0232">
      <w:pPr>
        <w:jc w:val="center"/>
        <w:rPr>
          <w:rFonts w:ascii="Arial" w:eastAsia="Times New Roman" w:hAnsi="Arial" w:cs="Arial"/>
          <w:b/>
          <w:lang w:eastAsia="es-ES"/>
        </w:rPr>
      </w:pPr>
      <w:r>
        <w:rPr>
          <w:rFonts w:ascii="Arial" w:eastAsia="Times New Roman" w:hAnsi="Arial" w:cs="Arial"/>
          <w:b/>
          <w:lang w:eastAsia="es-ES"/>
        </w:rPr>
        <w:t>T</w:t>
      </w:r>
      <w:r w:rsidR="00D044E8" w:rsidRPr="00D044E8">
        <w:rPr>
          <w:rFonts w:ascii="Arial" w:eastAsia="Times New Roman" w:hAnsi="Arial" w:cs="Arial"/>
          <w:b/>
          <w:lang w:eastAsia="es-ES"/>
        </w:rPr>
        <w:t>EXTO DEFINITIVO</w:t>
      </w:r>
    </w:p>
    <w:p w:rsidR="00D044E8" w:rsidRPr="00D044E8" w:rsidRDefault="00D044E8" w:rsidP="00BD6533">
      <w:pPr>
        <w:spacing w:after="0"/>
        <w:jc w:val="center"/>
        <w:rPr>
          <w:rFonts w:ascii="Arial" w:eastAsia="Times New Roman" w:hAnsi="Arial" w:cs="Arial"/>
          <w:b/>
          <w:lang w:eastAsia="es-ES"/>
        </w:rPr>
      </w:pPr>
    </w:p>
    <w:p w:rsidR="00BD6533" w:rsidRPr="00D044E8" w:rsidRDefault="00BD6533" w:rsidP="00D044E8">
      <w:pPr>
        <w:spacing w:after="0"/>
        <w:jc w:val="center"/>
        <w:rPr>
          <w:rFonts w:ascii="Arial" w:eastAsia="Times New Roman" w:hAnsi="Arial" w:cs="Arial"/>
          <w:b/>
          <w:lang w:eastAsia="es-ES"/>
        </w:rPr>
      </w:pPr>
      <w:r w:rsidRPr="007C1C68">
        <w:rPr>
          <w:rFonts w:ascii="Arial" w:eastAsia="Times New Roman" w:hAnsi="Arial" w:cs="Arial"/>
          <w:b/>
          <w:lang w:eastAsia="es-ES"/>
        </w:rPr>
        <w:t>PROYECTO DE LEY No. 059/2014 CAMARA</w:t>
      </w:r>
      <w:r w:rsidR="00D044E8" w:rsidRPr="00D044E8">
        <w:rPr>
          <w:rFonts w:ascii="Arial" w:eastAsia="Times New Roman" w:hAnsi="Arial" w:cs="Arial"/>
          <w:b/>
          <w:lang w:eastAsia="es-ES"/>
        </w:rPr>
        <w:t xml:space="preserve"> </w:t>
      </w:r>
      <w:r w:rsidRPr="007C1C68">
        <w:rPr>
          <w:rFonts w:ascii="Arial" w:eastAsia="Times New Roman" w:hAnsi="Arial" w:cs="Arial"/>
          <w:b/>
          <w:lang w:eastAsia="es-ES"/>
        </w:rPr>
        <w:t>“Por medio de la cual se modifica el artículo 14 de la Ley 80 de 1993, se establecen las clausulas exorbitantes en los contratos de aportes, y se dictan otras disposiciones”</w:t>
      </w:r>
    </w:p>
    <w:p w:rsidR="00D044E8" w:rsidRPr="00D044E8" w:rsidRDefault="00D044E8" w:rsidP="00D044E8">
      <w:pPr>
        <w:spacing w:after="0"/>
        <w:jc w:val="center"/>
        <w:rPr>
          <w:rFonts w:ascii="Arial" w:eastAsia="Times New Roman" w:hAnsi="Arial" w:cs="Arial"/>
          <w:b/>
          <w:lang w:eastAsia="es-ES"/>
        </w:rPr>
      </w:pPr>
    </w:p>
    <w:p w:rsidR="00D044E8" w:rsidRPr="00D044E8" w:rsidRDefault="00D044E8" w:rsidP="00D044E8">
      <w:pPr>
        <w:spacing w:after="0"/>
        <w:jc w:val="center"/>
        <w:rPr>
          <w:rFonts w:ascii="Arial" w:eastAsia="Times New Roman" w:hAnsi="Arial" w:cs="Arial"/>
          <w:b/>
          <w:lang w:eastAsia="es-ES"/>
        </w:rPr>
      </w:pPr>
      <w:r w:rsidRPr="00D044E8">
        <w:rPr>
          <w:rFonts w:ascii="Arial" w:eastAsia="Times New Roman" w:hAnsi="Arial" w:cs="Arial"/>
          <w:b/>
          <w:lang w:eastAsia="es-ES"/>
        </w:rPr>
        <w:t>EL CONGRESO DE COLOMBIA DECRETA</w:t>
      </w:r>
    </w:p>
    <w:p w:rsidR="00D044E8" w:rsidRDefault="00D044E8" w:rsidP="00D044E8">
      <w:pPr>
        <w:spacing w:before="100" w:beforeAutospacing="1" w:after="100" w:afterAutospacing="1" w:line="240" w:lineRule="auto"/>
        <w:jc w:val="both"/>
        <w:rPr>
          <w:rFonts w:ascii="Arial" w:eastAsia="Times New Roman" w:hAnsi="Arial" w:cs="Arial"/>
          <w:b/>
          <w:bCs/>
          <w:lang w:eastAsia="es-CO"/>
        </w:rPr>
      </w:pPr>
      <w:r>
        <w:rPr>
          <w:rFonts w:ascii="Arial" w:eastAsia="Times New Roman" w:hAnsi="Arial" w:cs="Arial"/>
          <w:b/>
          <w:bCs/>
          <w:lang w:eastAsia="es-CO"/>
        </w:rPr>
        <w:t xml:space="preserve">Artículo 1º. </w:t>
      </w:r>
      <w:r>
        <w:rPr>
          <w:rFonts w:ascii="Arial" w:eastAsia="Times New Roman" w:hAnsi="Arial" w:cs="Arial"/>
          <w:bCs/>
          <w:lang w:eastAsia="es-CO"/>
        </w:rPr>
        <w:t>Modifíquese el artículo 14º de la ley 80 de 1993, el cual quedara así:</w:t>
      </w:r>
    </w:p>
    <w:p w:rsidR="00D044E8" w:rsidRPr="00D044E8" w:rsidRDefault="00AF194E" w:rsidP="00D044E8">
      <w:pPr>
        <w:spacing w:before="100" w:beforeAutospacing="1" w:after="100" w:afterAutospacing="1" w:line="240" w:lineRule="auto"/>
        <w:jc w:val="both"/>
        <w:rPr>
          <w:rFonts w:ascii="Arial" w:eastAsia="Times New Roman" w:hAnsi="Arial" w:cs="Arial"/>
          <w:lang w:eastAsia="es-CO"/>
        </w:rPr>
      </w:pPr>
      <w:r w:rsidRPr="00AF194E">
        <w:rPr>
          <w:rFonts w:ascii="Arial" w:eastAsia="Times New Roman" w:hAnsi="Arial" w:cs="Arial"/>
          <w:b/>
          <w:bCs/>
          <w:lang w:eastAsia="es-CO"/>
        </w:rPr>
        <w:t>Artículo   14º.</w:t>
      </w:r>
      <w:r w:rsidR="00D044E8" w:rsidRPr="00D044E8">
        <w:rPr>
          <w:rFonts w:ascii="Arial" w:eastAsia="Times New Roman" w:hAnsi="Arial" w:cs="Arial"/>
          <w:b/>
          <w:bCs/>
          <w:lang w:eastAsia="es-CO"/>
        </w:rPr>
        <w:t xml:space="preserve"> </w:t>
      </w:r>
      <w:r w:rsidR="00D044E8" w:rsidRPr="00D044E8">
        <w:rPr>
          <w:rFonts w:ascii="Arial" w:eastAsia="Times New Roman" w:hAnsi="Arial" w:cs="Arial"/>
          <w:iCs/>
          <w:lang w:eastAsia="es-CO"/>
        </w:rPr>
        <w:t>De los Medios que pueden utilizar las Entidades Estatales para el Cumplimiento del Objeto Contractual</w:t>
      </w:r>
      <w:r w:rsidR="00D044E8" w:rsidRPr="00D044E8">
        <w:rPr>
          <w:rFonts w:ascii="Arial" w:eastAsia="Times New Roman" w:hAnsi="Arial" w:cs="Arial"/>
          <w:b/>
          <w:bCs/>
          <w:lang w:eastAsia="es-CO"/>
        </w:rPr>
        <w:t>.</w:t>
      </w:r>
      <w:r w:rsidR="00D044E8" w:rsidRPr="00D044E8">
        <w:rPr>
          <w:rFonts w:ascii="Arial" w:eastAsia="Times New Roman" w:hAnsi="Arial" w:cs="Arial"/>
          <w:lang w:eastAsia="es-CO"/>
        </w:rPr>
        <w:t xml:space="preserve"> Para el cumplimiento de los fines de la contratación, las entidades estatales al celebrar un contrato:  </w:t>
      </w:r>
      <w:r w:rsidR="00D044E8" w:rsidRPr="00D044E8">
        <w:rPr>
          <w:rFonts w:ascii="Arial" w:eastAsia="Times New Roman" w:hAnsi="Arial" w:cs="Arial"/>
          <w:b/>
          <w:bCs/>
          <w:lang w:eastAsia="es-CO"/>
        </w:rPr>
        <w:t xml:space="preserve"> </w:t>
      </w:r>
    </w:p>
    <w:p w:rsidR="00D044E8" w:rsidRPr="00D044E8" w:rsidRDefault="00D044E8" w:rsidP="00D044E8">
      <w:pPr>
        <w:spacing w:before="100" w:beforeAutospacing="1" w:after="100" w:afterAutospacing="1" w:line="240" w:lineRule="auto"/>
        <w:jc w:val="both"/>
        <w:rPr>
          <w:rFonts w:ascii="Arial" w:eastAsia="Times New Roman" w:hAnsi="Arial" w:cs="Arial"/>
          <w:lang w:eastAsia="es-CO"/>
        </w:rPr>
      </w:pPr>
      <w:r w:rsidRPr="00D044E8">
        <w:rPr>
          <w:rFonts w:ascii="Arial" w:eastAsia="Times New Roman" w:hAnsi="Arial" w:cs="Arial"/>
          <w:lang w:eastAsia="es-CO"/>
        </w:rPr>
        <w:t>1</w:t>
      </w:r>
      <w:r w:rsidR="00692CF4">
        <w:rPr>
          <w:rFonts w:ascii="Arial" w:eastAsia="Times New Roman" w:hAnsi="Arial" w:cs="Arial"/>
          <w:lang w:eastAsia="es-CO"/>
        </w:rPr>
        <w:t>º</w:t>
      </w:r>
      <w:r w:rsidRPr="00D044E8">
        <w:rPr>
          <w:rFonts w:ascii="Arial" w:eastAsia="Times New Roman" w:hAnsi="Arial" w:cs="Arial"/>
          <w:lang w:eastAsia="es-CO"/>
        </w:rPr>
        <w:t>.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 de este artículo, interpretar los documentos contractuales y las estipulaciones en ellos convenidas, introducir modificaciones a lo contratado y, cuando las condiciones particulares de la prestación así lo exijan, terminar unilateralmente el contrato celebrado.</w:t>
      </w:r>
    </w:p>
    <w:p w:rsidR="00D044E8" w:rsidRPr="00D044E8" w:rsidRDefault="00D044E8" w:rsidP="00D044E8">
      <w:pPr>
        <w:spacing w:before="100" w:beforeAutospacing="1" w:after="100" w:afterAutospacing="1" w:line="240" w:lineRule="auto"/>
        <w:jc w:val="both"/>
        <w:rPr>
          <w:rFonts w:ascii="Arial" w:eastAsia="Times New Roman" w:hAnsi="Arial" w:cs="Arial"/>
          <w:lang w:eastAsia="es-CO"/>
        </w:rPr>
      </w:pPr>
      <w:r w:rsidRPr="00D044E8">
        <w:rPr>
          <w:rFonts w:ascii="Arial" w:eastAsia="Times New Roman" w:hAnsi="Arial" w:cs="Arial"/>
          <w:lang w:eastAsia="es-CO"/>
        </w:rPr>
        <w:t>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w:t>
      </w:r>
    </w:p>
    <w:p w:rsidR="00D044E8" w:rsidRPr="00D044E8" w:rsidRDefault="00D044E8" w:rsidP="00D044E8">
      <w:pPr>
        <w:spacing w:before="100" w:beforeAutospacing="1" w:after="100" w:afterAutospacing="1" w:line="240" w:lineRule="auto"/>
        <w:jc w:val="both"/>
        <w:rPr>
          <w:rFonts w:ascii="Arial" w:eastAsia="Times New Roman" w:hAnsi="Arial" w:cs="Arial"/>
          <w:lang w:eastAsia="es-CO"/>
        </w:rPr>
      </w:pPr>
      <w:r w:rsidRPr="00D044E8">
        <w:rPr>
          <w:rFonts w:ascii="Arial" w:eastAsia="Times New Roman" w:hAnsi="Arial" w:cs="Arial"/>
          <w:lang w:eastAsia="es-CO"/>
        </w:rPr>
        <w:t>Contra los actos administrativos que ordenen la interpretación, modificación y terminación unilaterales, procederá el recurso de reposición, sin perjuicio de la acción contractual que puede intentar el contratista, según lo previsto en el artículo 77 de esta Ley.</w:t>
      </w:r>
      <w:r w:rsidRPr="00D044E8">
        <w:rPr>
          <w:rFonts w:ascii="Arial" w:eastAsia="Times New Roman" w:hAnsi="Arial" w:cs="Arial"/>
          <w:b/>
          <w:bCs/>
          <w:lang w:eastAsia="es-CO"/>
        </w:rPr>
        <w:t xml:space="preserve"> </w:t>
      </w:r>
    </w:p>
    <w:p w:rsidR="00D044E8" w:rsidRPr="00D044E8" w:rsidRDefault="00D044E8" w:rsidP="00D044E8">
      <w:pPr>
        <w:spacing w:before="100" w:beforeAutospacing="1" w:after="100" w:afterAutospacing="1" w:line="240" w:lineRule="auto"/>
        <w:jc w:val="both"/>
        <w:rPr>
          <w:rFonts w:ascii="Arial" w:eastAsia="Times New Roman" w:hAnsi="Arial" w:cs="Arial"/>
          <w:lang w:eastAsia="es-CO"/>
        </w:rPr>
      </w:pPr>
      <w:r w:rsidRPr="00D044E8">
        <w:rPr>
          <w:rFonts w:ascii="Arial" w:eastAsia="Times New Roman" w:hAnsi="Arial" w:cs="Arial"/>
          <w:lang w:eastAsia="es-CO"/>
        </w:rPr>
        <w:t>2</w:t>
      </w:r>
      <w:r w:rsidR="00692CF4">
        <w:rPr>
          <w:rFonts w:ascii="Arial" w:eastAsia="Times New Roman" w:hAnsi="Arial" w:cs="Arial"/>
          <w:lang w:eastAsia="es-CO"/>
        </w:rPr>
        <w:t>º</w:t>
      </w:r>
      <w:r w:rsidRPr="00D044E8">
        <w:rPr>
          <w:rFonts w:ascii="Arial" w:eastAsia="Times New Roman" w:hAnsi="Arial" w:cs="Arial"/>
          <w:lang w:eastAsia="es-CO"/>
        </w:rPr>
        <w:t xml:space="preserve">.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w:t>
      </w:r>
      <w:r w:rsidRPr="00D044E8">
        <w:rPr>
          <w:rFonts w:ascii="Arial" w:eastAsia="Times New Roman" w:hAnsi="Arial" w:cs="Arial"/>
          <w:b/>
          <w:u w:val="single"/>
          <w:lang w:eastAsia="es-CO"/>
        </w:rPr>
        <w:t>y los contratos de aporte.</w:t>
      </w:r>
      <w:r w:rsidRPr="00D044E8">
        <w:rPr>
          <w:rFonts w:ascii="Arial" w:eastAsia="Times New Roman" w:hAnsi="Arial" w:cs="Arial"/>
          <w:lang w:eastAsia="es-CO"/>
        </w:rPr>
        <w:t xml:space="preserve"> En los contratos de explotación y concesión de bienes del Estado se incluirá la cláusula de reversión.</w:t>
      </w:r>
    </w:p>
    <w:p w:rsidR="00D044E8" w:rsidRPr="00D044E8" w:rsidRDefault="00D044E8" w:rsidP="00D044E8">
      <w:pPr>
        <w:spacing w:before="100" w:beforeAutospacing="1" w:after="100" w:afterAutospacing="1" w:line="240" w:lineRule="auto"/>
        <w:jc w:val="both"/>
        <w:rPr>
          <w:rFonts w:ascii="Arial" w:eastAsia="Times New Roman" w:hAnsi="Arial" w:cs="Arial"/>
          <w:lang w:eastAsia="es-CO"/>
        </w:rPr>
      </w:pPr>
      <w:r w:rsidRPr="00D044E8">
        <w:rPr>
          <w:rFonts w:ascii="Arial" w:eastAsia="Times New Roman" w:hAnsi="Arial" w:cs="Arial"/>
          <w:lang w:eastAsia="es-CO"/>
        </w:rPr>
        <w:t>Las entidades estatales podrán pactar estas cláusulas en los contratos de suministro y de prestación de servicios.</w:t>
      </w:r>
    </w:p>
    <w:p w:rsidR="00692CF4" w:rsidRDefault="00692CF4" w:rsidP="00D044E8">
      <w:pPr>
        <w:spacing w:before="100" w:beforeAutospacing="1" w:after="100" w:afterAutospacing="1" w:line="240" w:lineRule="auto"/>
        <w:jc w:val="both"/>
        <w:rPr>
          <w:rFonts w:ascii="Arial" w:eastAsia="Times New Roman" w:hAnsi="Arial" w:cs="Arial"/>
          <w:lang w:eastAsia="es-CO"/>
        </w:rPr>
      </w:pPr>
    </w:p>
    <w:p w:rsidR="00692CF4" w:rsidRDefault="00692CF4" w:rsidP="00D044E8">
      <w:pPr>
        <w:spacing w:before="100" w:beforeAutospacing="1" w:after="100" w:afterAutospacing="1" w:line="240" w:lineRule="auto"/>
        <w:jc w:val="both"/>
        <w:rPr>
          <w:rFonts w:ascii="Arial" w:eastAsia="Times New Roman" w:hAnsi="Arial" w:cs="Arial"/>
          <w:lang w:eastAsia="es-CO"/>
        </w:rPr>
      </w:pPr>
    </w:p>
    <w:p w:rsidR="000A690A" w:rsidRDefault="000A690A" w:rsidP="00D044E8">
      <w:pPr>
        <w:spacing w:before="100" w:beforeAutospacing="1" w:after="100" w:afterAutospacing="1" w:line="240" w:lineRule="auto"/>
        <w:jc w:val="both"/>
        <w:rPr>
          <w:rFonts w:ascii="Arial" w:eastAsia="Times New Roman" w:hAnsi="Arial" w:cs="Arial"/>
          <w:lang w:eastAsia="es-CO"/>
        </w:rPr>
      </w:pPr>
    </w:p>
    <w:p w:rsidR="00D044E8" w:rsidRPr="00D044E8" w:rsidRDefault="00D044E8" w:rsidP="00D044E8">
      <w:pPr>
        <w:spacing w:before="100" w:beforeAutospacing="1" w:after="100" w:afterAutospacing="1" w:line="240" w:lineRule="auto"/>
        <w:jc w:val="both"/>
        <w:rPr>
          <w:rFonts w:ascii="Arial" w:eastAsia="Times New Roman" w:hAnsi="Arial" w:cs="Arial"/>
          <w:lang w:eastAsia="es-CO"/>
        </w:rPr>
      </w:pPr>
      <w:r w:rsidRPr="00D044E8">
        <w:rPr>
          <w:rFonts w:ascii="Arial" w:eastAsia="Times New Roman" w:hAnsi="Arial" w:cs="Arial"/>
          <w:lang w:eastAsia="es-CO"/>
        </w:rPr>
        <w:t>En los casos previstos en este numeral, las cláusulas excepcionales se entienden pactadas aun cuando no se consignen expresamente.</w:t>
      </w:r>
    </w:p>
    <w:p w:rsidR="000A690A" w:rsidRDefault="00D044E8" w:rsidP="00D044E8">
      <w:pPr>
        <w:spacing w:before="100" w:beforeAutospacing="1" w:after="100" w:afterAutospacing="1" w:line="240" w:lineRule="auto"/>
        <w:jc w:val="both"/>
        <w:rPr>
          <w:rFonts w:ascii="Arial" w:eastAsia="Times New Roman" w:hAnsi="Arial" w:cs="Arial"/>
          <w:lang w:eastAsia="es-CO"/>
        </w:rPr>
      </w:pPr>
      <w:r w:rsidRPr="00D044E8">
        <w:rPr>
          <w:rFonts w:ascii="Arial" w:eastAsia="Times New Roman" w:hAnsi="Arial" w:cs="Arial"/>
          <w:b/>
          <w:bCs/>
          <w:lang w:eastAsia="es-CO"/>
        </w:rPr>
        <w:t>Parágrafo.-</w:t>
      </w:r>
      <w:r w:rsidRPr="00D044E8">
        <w:rPr>
          <w:rFonts w:ascii="Arial" w:eastAsia="Times New Roman" w:hAnsi="Arial" w:cs="Arial"/>
          <w:lang w:eastAsia="es-CO"/>
        </w:rPr>
        <w:t xml:space="preserve"> 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w:t>
      </w:r>
    </w:p>
    <w:p w:rsidR="00D044E8" w:rsidRDefault="00D044E8" w:rsidP="00D044E8">
      <w:pPr>
        <w:spacing w:before="100" w:beforeAutospacing="1" w:after="100" w:afterAutospacing="1" w:line="240" w:lineRule="auto"/>
        <w:jc w:val="both"/>
        <w:rPr>
          <w:rFonts w:ascii="Arial" w:eastAsia="Times New Roman" w:hAnsi="Arial" w:cs="Arial"/>
          <w:lang w:eastAsia="es-CO"/>
        </w:rPr>
      </w:pPr>
      <w:r w:rsidRPr="00D044E8">
        <w:rPr>
          <w:rFonts w:ascii="Arial" w:eastAsia="Times New Roman" w:hAnsi="Arial" w:cs="Arial"/>
          <w:lang w:eastAsia="es-CO"/>
        </w:rPr>
        <w:t xml:space="preserve"> este artículo, o que tengan por objeto el desarrollo directo de actividades científicas o tecnológicas, así como en los contratos de seguro tomados por las entidades estatales, se prescindirá de la utilización de las cláusulas o estipulaciones excepcionales.</w:t>
      </w:r>
    </w:p>
    <w:p w:rsidR="00D044E8" w:rsidRDefault="00AF194E" w:rsidP="00D044E8">
      <w:pPr>
        <w:spacing w:before="100" w:beforeAutospacing="1" w:after="100" w:afterAutospacing="1" w:line="240" w:lineRule="auto"/>
        <w:jc w:val="both"/>
        <w:rPr>
          <w:rFonts w:ascii="Arial" w:eastAsia="Times New Roman" w:hAnsi="Arial" w:cs="Arial"/>
          <w:lang w:eastAsia="es-CO"/>
        </w:rPr>
      </w:pPr>
      <w:r w:rsidRPr="00692CF4">
        <w:rPr>
          <w:rFonts w:ascii="Arial" w:eastAsia="Times New Roman" w:hAnsi="Arial" w:cs="Arial"/>
          <w:b/>
          <w:lang w:eastAsia="es-CO"/>
        </w:rPr>
        <w:t>Artículo 2º.</w:t>
      </w:r>
      <w:r>
        <w:rPr>
          <w:rFonts w:ascii="Arial" w:eastAsia="Times New Roman" w:hAnsi="Arial" w:cs="Arial"/>
          <w:lang w:eastAsia="es-CO"/>
        </w:rPr>
        <w:t xml:space="preserve"> Vigencia y Derogatorias. La presente Ley rige a partir de la fecha de su promulgación, deroga</w:t>
      </w:r>
      <w:r w:rsidR="003F0929">
        <w:rPr>
          <w:rFonts w:ascii="Arial" w:eastAsia="Times New Roman" w:hAnsi="Arial" w:cs="Arial"/>
          <w:lang w:eastAsia="es-CO"/>
        </w:rPr>
        <w:t xml:space="preserve"> el artículo 14 de la ley 80 de 1993 y todas las disposiciones que le sean contrarias.</w:t>
      </w:r>
    </w:p>
    <w:p w:rsidR="003F0929" w:rsidRDefault="003F0929" w:rsidP="00D044E8">
      <w:pPr>
        <w:spacing w:before="100" w:beforeAutospacing="1" w:after="100" w:afterAutospacing="1" w:line="240" w:lineRule="auto"/>
        <w:jc w:val="both"/>
        <w:rPr>
          <w:rFonts w:ascii="Arial" w:eastAsia="Times New Roman" w:hAnsi="Arial" w:cs="Arial"/>
          <w:lang w:eastAsia="es-CO"/>
        </w:rPr>
      </w:pPr>
    </w:p>
    <w:p w:rsidR="00692CF4" w:rsidRDefault="00692CF4" w:rsidP="00D044E8">
      <w:pPr>
        <w:spacing w:before="100" w:beforeAutospacing="1" w:after="100" w:afterAutospacing="1" w:line="240" w:lineRule="auto"/>
        <w:jc w:val="both"/>
        <w:rPr>
          <w:rFonts w:ascii="Arial" w:eastAsia="Times New Roman" w:hAnsi="Arial" w:cs="Arial"/>
          <w:lang w:eastAsia="es-CO"/>
        </w:rPr>
      </w:pPr>
    </w:p>
    <w:p w:rsidR="00692CF4" w:rsidRPr="00692CF4" w:rsidRDefault="00692CF4" w:rsidP="00692CF4">
      <w:pPr>
        <w:pStyle w:val="Sinespaciado"/>
        <w:rPr>
          <w:rFonts w:ascii="Arial" w:hAnsi="Arial" w:cs="Arial"/>
          <w:b/>
          <w:lang w:eastAsia="es-CO"/>
        </w:rPr>
      </w:pPr>
      <w:r w:rsidRPr="00692CF4">
        <w:rPr>
          <w:rFonts w:ascii="Arial" w:hAnsi="Arial" w:cs="Arial"/>
          <w:b/>
          <w:lang w:eastAsia="es-CO"/>
        </w:rPr>
        <w:t>HERIBERTO SANABRIA ASTUDILLO</w:t>
      </w:r>
    </w:p>
    <w:p w:rsidR="00692CF4" w:rsidRPr="00692CF4" w:rsidRDefault="00692CF4" w:rsidP="00692CF4">
      <w:pPr>
        <w:pStyle w:val="Sinespaciado"/>
        <w:rPr>
          <w:rFonts w:ascii="Arial" w:hAnsi="Arial" w:cs="Arial"/>
          <w:b/>
          <w:lang w:eastAsia="es-CO"/>
        </w:rPr>
      </w:pPr>
      <w:r w:rsidRPr="00692CF4">
        <w:rPr>
          <w:rFonts w:ascii="Arial" w:hAnsi="Arial" w:cs="Arial"/>
          <w:b/>
          <w:lang w:eastAsia="es-CO"/>
        </w:rPr>
        <w:t>Representante a la Cámara</w:t>
      </w:r>
    </w:p>
    <w:p w:rsidR="00692CF4" w:rsidRPr="00692CF4" w:rsidRDefault="00692CF4" w:rsidP="00692CF4">
      <w:pPr>
        <w:pStyle w:val="Sinespaciado"/>
        <w:rPr>
          <w:rFonts w:ascii="Arial" w:hAnsi="Arial" w:cs="Arial"/>
          <w:b/>
          <w:lang w:eastAsia="es-CO"/>
        </w:rPr>
      </w:pPr>
      <w:r w:rsidRPr="00692CF4">
        <w:rPr>
          <w:rFonts w:ascii="Arial" w:hAnsi="Arial" w:cs="Arial"/>
          <w:b/>
          <w:lang w:eastAsia="es-CO"/>
        </w:rPr>
        <w:t>Ponente</w:t>
      </w:r>
    </w:p>
    <w:p w:rsidR="00D044E8" w:rsidRPr="00D044E8" w:rsidRDefault="00D044E8" w:rsidP="00D044E8">
      <w:pPr>
        <w:spacing w:before="100" w:beforeAutospacing="1" w:after="100" w:afterAutospacing="1" w:line="240" w:lineRule="auto"/>
        <w:jc w:val="both"/>
        <w:rPr>
          <w:rFonts w:ascii="Arial" w:eastAsia="Times New Roman" w:hAnsi="Arial" w:cs="Arial"/>
          <w:lang w:eastAsia="es-CO"/>
        </w:rPr>
      </w:pPr>
    </w:p>
    <w:p w:rsidR="00D044E8" w:rsidRPr="007C1C68" w:rsidRDefault="00D044E8" w:rsidP="00D044E8">
      <w:pPr>
        <w:spacing w:after="0"/>
        <w:rPr>
          <w:rFonts w:ascii="Arial" w:eastAsia="Times New Roman" w:hAnsi="Arial" w:cs="Arial"/>
          <w:lang w:eastAsia="es-ES"/>
        </w:rPr>
      </w:pPr>
    </w:p>
    <w:p w:rsidR="00586C04" w:rsidRPr="00197AD8" w:rsidRDefault="00586C04"/>
    <w:sectPr w:rsidR="00586C04" w:rsidRPr="00197A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BB8" w:rsidRDefault="00D92BB8" w:rsidP="007C1C68">
      <w:pPr>
        <w:spacing w:after="0" w:line="240" w:lineRule="auto"/>
      </w:pPr>
      <w:r>
        <w:separator/>
      </w:r>
    </w:p>
  </w:endnote>
  <w:endnote w:type="continuationSeparator" w:id="0">
    <w:p w:rsidR="00D92BB8" w:rsidRDefault="00D92BB8" w:rsidP="007C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BB8" w:rsidRDefault="00D92BB8" w:rsidP="007C1C68">
      <w:pPr>
        <w:spacing w:after="0" w:line="240" w:lineRule="auto"/>
      </w:pPr>
      <w:r>
        <w:separator/>
      </w:r>
    </w:p>
  </w:footnote>
  <w:footnote w:type="continuationSeparator" w:id="0">
    <w:p w:rsidR="00D92BB8" w:rsidRDefault="00D92BB8" w:rsidP="007C1C68">
      <w:pPr>
        <w:spacing w:after="0" w:line="240" w:lineRule="auto"/>
      </w:pPr>
      <w:r>
        <w:continuationSeparator/>
      </w:r>
    </w:p>
  </w:footnote>
  <w:footnote w:id="1">
    <w:p w:rsidR="007C1C68" w:rsidRDefault="007C1C68" w:rsidP="007C1C68">
      <w:pPr>
        <w:pStyle w:val="Textonotapie"/>
        <w:rPr>
          <w:rFonts w:ascii="Arial" w:hAnsi="Arial" w:cs="Arial"/>
          <w:sz w:val="16"/>
          <w:szCs w:val="16"/>
        </w:rPr>
      </w:pPr>
      <w:r>
        <w:rPr>
          <w:rStyle w:val="Refdenotaalpie"/>
        </w:rPr>
        <w:footnoteRef/>
      </w:r>
      <w:r>
        <w:t xml:space="preserve"> </w:t>
      </w:r>
      <w:r w:rsidRPr="003A7DCE">
        <w:rPr>
          <w:rFonts w:ascii="Arial" w:hAnsi="Arial" w:cs="Arial"/>
          <w:sz w:val="16"/>
          <w:szCs w:val="16"/>
        </w:rPr>
        <w:t>CONSEJO DE ESTADO,  SECCIÓN TERCERA, Consejero ponente: ENRIQUE GIL BOTERO Bogotá D.C., nueve (9) de mayo de dos mil once (2011). Expediente: 2001 - 01546  Radicación interna No.: 36.</w:t>
      </w:r>
    </w:p>
    <w:p w:rsidR="00197AD8" w:rsidRDefault="00197AD8" w:rsidP="007C1C68">
      <w:pPr>
        <w:pStyle w:val="Textonotapie"/>
      </w:pPr>
    </w:p>
  </w:footnote>
  <w:footnote w:id="2">
    <w:p w:rsidR="007C1C68" w:rsidRDefault="007C1C68" w:rsidP="007C1C68">
      <w:pPr>
        <w:pStyle w:val="Textonotapie"/>
      </w:pPr>
      <w:r>
        <w:rPr>
          <w:rStyle w:val="Refdenotaalpie"/>
        </w:rPr>
        <w:footnoteRef/>
      </w:r>
      <w:r>
        <w:t xml:space="preserve"> </w:t>
      </w:r>
      <w:r w:rsidRPr="00197AD8">
        <w:rPr>
          <w:rFonts w:cs="Tahoma"/>
          <w:color w:val="000000"/>
          <w:shd w:val="clear" w:color="auto" w:fill="FFFFFF"/>
        </w:rPr>
        <w:t>Consejo de Estado, Sala de Consulta y Servicio Civil, concepto del 2 de diciembre de</w:t>
      </w:r>
      <w:r w:rsidRPr="00197AD8">
        <w:rPr>
          <w:rStyle w:val="apple-converted-space"/>
          <w:rFonts w:cs="Tahoma"/>
          <w:color w:val="000000"/>
          <w:shd w:val="clear" w:color="auto" w:fill="FFFFFF"/>
        </w:rPr>
        <w:t> </w:t>
      </w:r>
      <w:r w:rsidRPr="00197AD8">
        <w:t>1996, M</w:t>
      </w:r>
      <w:r w:rsidRPr="00197AD8">
        <w:rPr>
          <w:rFonts w:cs="Tahoma"/>
          <w:color w:val="000000"/>
          <w:shd w:val="clear" w:color="auto" w:fill="FFFFFF"/>
        </w:rPr>
        <w:t xml:space="preserve">.P. Luis Camilo </w:t>
      </w:r>
      <w:r w:rsidR="00197AD8">
        <w:rPr>
          <w:rFonts w:cs="Tahoma"/>
          <w:color w:val="000000"/>
          <w:shd w:val="clear" w:color="auto" w:fill="FFFFFF"/>
        </w:rPr>
        <w:t xml:space="preserve">   </w:t>
      </w:r>
      <w:r w:rsidRPr="00197AD8">
        <w:rPr>
          <w:rFonts w:cs="Tahoma"/>
          <w:color w:val="000000"/>
          <w:shd w:val="clear" w:color="auto" w:fill="FFFFFF"/>
        </w:rPr>
        <w:t>Osorio.</w:t>
      </w:r>
    </w:p>
  </w:footnote>
  <w:footnote w:id="3">
    <w:p w:rsidR="007C1C68" w:rsidRPr="00C71808" w:rsidRDefault="007C1C68" w:rsidP="007C1C68">
      <w:pPr>
        <w:spacing w:after="240" w:line="360" w:lineRule="auto"/>
        <w:ind w:leftChars="33" w:left="130" w:hangingChars="26" w:hanging="57"/>
        <w:jc w:val="both"/>
      </w:pPr>
      <w:r>
        <w:rPr>
          <w:rStyle w:val="Refdenotaalpie"/>
        </w:rPr>
        <w:footnoteRef/>
      </w:r>
      <w:r>
        <w:t xml:space="preserve"> </w:t>
      </w:r>
      <w:r w:rsidRPr="00197AD8">
        <w:rPr>
          <w:sz w:val="18"/>
          <w:szCs w:val="18"/>
        </w:rPr>
        <w:t>BORJA AVILA, R. (2009) Estudios Jurídicos sobre Contratación Estatal. Colombia, Bogotá. Grupo Editorial Ibáñez</w:t>
      </w:r>
      <w:r w:rsidRPr="00024778">
        <w:rPr>
          <w:sz w:val="16"/>
          <w:szCs w:val="16"/>
        </w:rPr>
        <w:t>.</w:t>
      </w:r>
    </w:p>
    <w:p w:rsidR="007C1C68" w:rsidRPr="00024778" w:rsidRDefault="007C1C68" w:rsidP="007C1C68">
      <w:pPr>
        <w:pStyle w:val="Textonotapie"/>
        <w:rPr>
          <w:lang w:val="es-CO"/>
        </w:rPr>
      </w:pPr>
    </w:p>
  </w:footnote>
  <w:footnote w:id="4">
    <w:p w:rsidR="007C1C68" w:rsidRDefault="007C1C68" w:rsidP="007C1C68">
      <w:pPr>
        <w:pStyle w:val="Textonotapie"/>
      </w:pPr>
      <w:r>
        <w:rPr>
          <w:rStyle w:val="Refdenotaalpie"/>
        </w:rPr>
        <w:footnoteRef/>
      </w:r>
      <w:r>
        <w:t xml:space="preserve"> Consejo de Estado, Sección Tercera, 30 de noviembre de 2006, Consejero Ponente: Alier Eduardo Hernández Enríquez)</w:t>
      </w:r>
    </w:p>
  </w:footnote>
  <w:footnote w:id="5">
    <w:p w:rsidR="007C1C68" w:rsidRDefault="007C1C68" w:rsidP="007C1C68">
      <w:pPr>
        <w:pStyle w:val="Textonotapie"/>
      </w:pPr>
      <w:r>
        <w:rPr>
          <w:rStyle w:val="Refdenotaalpie"/>
        </w:rPr>
        <w:footnoteRef/>
      </w:r>
      <w:r>
        <w:t xml:space="preserve"> Consejo de Estado, Sala de lo Contencioso Administrativo, Sección Tercera, sentencia de </w:t>
      </w:r>
      <w:r>
        <w:rPr>
          <w:sz w:val="19"/>
          <w:szCs w:val="19"/>
        </w:rPr>
        <w:t xml:space="preserve">noviembre treinta(30) de dos mil seis (2006), C.P. Alier Hernandez, radicado No 25000-23-26-000-2001-01008-01(30832), </w:t>
      </w:r>
      <w:r>
        <w:t xml:space="preserve"> </w:t>
      </w:r>
    </w:p>
  </w:footnote>
  <w:footnote w:id="6">
    <w:p w:rsidR="007C1C68" w:rsidRDefault="007C1C68" w:rsidP="007C1C68">
      <w:pPr>
        <w:pStyle w:val="Textonotapie"/>
      </w:pPr>
      <w:r>
        <w:rPr>
          <w:rStyle w:val="Refdenotaalpie"/>
        </w:rPr>
        <w:footnoteRef/>
      </w:r>
      <w:r>
        <w:t xml:space="preserve"> Ronderos Botero, Jorge Arturo. Ibid. Pàg. 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F2B"/>
    <w:multiLevelType w:val="hybridMultilevel"/>
    <w:tmpl w:val="3ADC64BE"/>
    <w:lvl w:ilvl="0" w:tplc="910E452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F26C59"/>
    <w:multiLevelType w:val="hybridMultilevel"/>
    <w:tmpl w:val="5E24E47C"/>
    <w:lvl w:ilvl="0" w:tplc="D0F62C7E">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8B4F3F"/>
    <w:multiLevelType w:val="multilevel"/>
    <w:tmpl w:val="68807E2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D4C1500"/>
    <w:multiLevelType w:val="multilevel"/>
    <w:tmpl w:val="C86EC20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5960093"/>
    <w:multiLevelType w:val="multilevel"/>
    <w:tmpl w:val="68807E2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B992D4F"/>
    <w:multiLevelType w:val="hybridMultilevel"/>
    <w:tmpl w:val="853E2D4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423A3718">
      <w:start w:val="1"/>
      <w:numFmt w:val="lowerLetter"/>
      <w:lvlText w:val="%3)"/>
      <w:lvlJc w:val="left"/>
      <w:pPr>
        <w:ind w:left="2370" w:hanging="39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7B12553"/>
    <w:multiLevelType w:val="hybridMultilevel"/>
    <w:tmpl w:val="4FC6CBB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423A3718">
      <w:start w:val="1"/>
      <w:numFmt w:val="lowerLetter"/>
      <w:lvlText w:val="%3)"/>
      <w:lvlJc w:val="left"/>
      <w:pPr>
        <w:ind w:left="2370" w:hanging="39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AEC10C3"/>
    <w:multiLevelType w:val="hybridMultilevel"/>
    <w:tmpl w:val="24646D1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423A3718">
      <w:start w:val="1"/>
      <w:numFmt w:val="lowerLetter"/>
      <w:lvlText w:val="%3)"/>
      <w:lvlJc w:val="left"/>
      <w:pPr>
        <w:ind w:left="2370" w:hanging="39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77"/>
    <w:rsid w:val="00023BE3"/>
    <w:rsid w:val="000A690A"/>
    <w:rsid w:val="00197AD8"/>
    <w:rsid w:val="002C6C82"/>
    <w:rsid w:val="003D6A12"/>
    <w:rsid w:val="003F0929"/>
    <w:rsid w:val="00400140"/>
    <w:rsid w:val="0046141B"/>
    <w:rsid w:val="005054E3"/>
    <w:rsid w:val="00586C04"/>
    <w:rsid w:val="005C0232"/>
    <w:rsid w:val="00692CF4"/>
    <w:rsid w:val="00755383"/>
    <w:rsid w:val="007C1C68"/>
    <w:rsid w:val="008A6177"/>
    <w:rsid w:val="00A71DD7"/>
    <w:rsid w:val="00AA33CC"/>
    <w:rsid w:val="00AC550A"/>
    <w:rsid w:val="00AF194E"/>
    <w:rsid w:val="00BD6533"/>
    <w:rsid w:val="00D044E8"/>
    <w:rsid w:val="00D92BB8"/>
    <w:rsid w:val="00DD6B9B"/>
    <w:rsid w:val="00DF5075"/>
    <w:rsid w:val="00E31AC8"/>
    <w:rsid w:val="00E409C3"/>
    <w:rsid w:val="00F91F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6D8AF-C222-46DB-AEF9-7C9AF585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C1C68"/>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7C1C68"/>
    <w:rPr>
      <w:sz w:val="20"/>
      <w:szCs w:val="20"/>
      <w:lang w:val="es-ES"/>
    </w:rPr>
  </w:style>
  <w:style w:type="character" w:styleId="Refdenotaalpie">
    <w:name w:val="footnote reference"/>
    <w:basedOn w:val="Fuentedeprrafopredeter"/>
    <w:uiPriority w:val="99"/>
    <w:unhideWhenUsed/>
    <w:rsid w:val="007C1C68"/>
    <w:rPr>
      <w:vertAlign w:val="superscript"/>
    </w:rPr>
  </w:style>
  <w:style w:type="character" w:customStyle="1" w:styleId="apple-converted-space">
    <w:name w:val="apple-converted-space"/>
    <w:basedOn w:val="Fuentedeprrafopredeter"/>
    <w:rsid w:val="007C1C68"/>
  </w:style>
  <w:style w:type="paragraph" w:styleId="Prrafodelista">
    <w:name w:val="List Paragraph"/>
    <w:basedOn w:val="Normal"/>
    <w:uiPriority w:val="34"/>
    <w:qFormat/>
    <w:rsid w:val="007C1C68"/>
    <w:pPr>
      <w:ind w:left="720"/>
      <w:contextualSpacing/>
    </w:pPr>
  </w:style>
  <w:style w:type="paragraph" w:styleId="Textodeglobo">
    <w:name w:val="Balloon Text"/>
    <w:basedOn w:val="Normal"/>
    <w:link w:val="TextodegloboCar"/>
    <w:uiPriority w:val="99"/>
    <w:semiHidden/>
    <w:unhideWhenUsed/>
    <w:rsid w:val="00AC55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550A"/>
    <w:rPr>
      <w:rFonts w:ascii="Tahoma" w:hAnsi="Tahoma" w:cs="Tahoma"/>
      <w:sz w:val="16"/>
      <w:szCs w:val="16"/>
    </w:rPr>
  </w:style>
  <w:style w:type="paragraph" w:styleId="Sinespaciado">
    <w:name w:val="No Spacing"/>
    <w:uiPriority w:val="1"/>
    <w:qFormat/>
    <w:rsid w:val="00692C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A8FD7-37CF-4007-9A5A-CFA31BB7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2084</Words>
  <Characters>11464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OF_402</dc:creator>
  <cp:lastModifiedBy>admin</cp:lastModifiedBy>
  <cp:revision>2</cp:revision>
  <cp:lastPrinted>2015-05-27T14:08:00Z</cp:lastPrinted>
  <dcterms:created xsi:type="dcterms:W3CDTF">2015-06-09T17:29:00Z</dcterms:created>
  <dcterms:modified xsi:type="dcterms:W3CDTF">2015-06-09T17:29:00Z</dcterms:modified>
</cp:coreProperties>
</file>